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76EDE" w14:textId="3853B65F" w:rsidR="0003770C" w:rsidRPr="0033148D" w:rsidRDefault="002D5C49" w:rsidP="0033148D">
      <w:pPr>
        <w:autoSpaceDE w:val="0"/>
        <w:autoSpaceDN w:val="0"/>
        <w:adjustRightInd w:val="0"/>
        <w:spacing w:line="240" w:lineRule="auto"/>
        <w:jc w:val="right"/>
        <w:rPr>
          <w:rFonts w:cstheme="minorHAnsi"/>
        </w:rPr>
      </w:pPr>
      <w:r>
        <w:rPr>
          <w:rFonts w:cstheme="minorHAnsi"/>
        </w:rPr>
        <w:t xml:space="preserve">          </w:t>
      </w:r>
      <w:r w:rsidR="00A36246">
        <w:rPr>
          <w:rFonts w:cstheme="minorHAnsi"/>
        </w:rPr>
        <w:t>PRIJEDLOG</w:t>
      </w:r>
    </w:p>
    <w:p w14:paraId="607508CC" w14:textId="77777777" w:rsidR="0003770C" w:rsidRPr="0033148D" w:rsidRDefault="0003770C" w:rsidP="0033148D">
      <w:pPr>
        <w:autoSpaceDE w:val="0"/>
        <w:autoSpaceDN w:val="0"/>
        <w:adjustRightInd w:val="0"/>
        <w:spacing w:line="240" w:lineRule="auto"/>
        <w:jc w:val="center"/>
        <w:rPr>
          <w:rFonts w:cstheme="minorHAnsi"/>
        </w:rPr>
      </w:pPr>
    </w:p>
    <w:p w14:paraId="04DF6543" w14:textId="77777777" w:rsidR="0003770C" w:rsidRPr="0033148D" w:rsidRDefault="001B6D03" w:rsidP="0033148D">
      <w:pPr>
        <w:autoSpaceDE w:val="0"/>
        <w:autoSpaceDN w:val="0"/>
        <w:adjustRightInd w:val="0"/>
        <w:spacing w:line="240" w:lineRule="auto"/>
        <w:jc w:val="center"/>
        <w:rPr>
          <w:rFonts w:cstheme="minorHAnsi"/>
        </w:rPr>
      </w:pPr>
      <w:r w:rsidRPr="0033148D">
        <w:rPr>
          <w:rFonts w:cstheme="minorHAnsi"/>
          <w:noProof/>
          <w:lang w:eastAsia="hr-HR"/>
        </w:rPr>
        <w:drawing>
          <wp:inline distT="0" distB="0" distL="0" distR="0" wp14:anchorId="36E1C0AB" wp14:editId="0DA93CF7">
            <wp:extent cx="2368550" cy="1358900"/>
            <wp:effectExtent l="0" t="0" r="0" b="0"/>
            <wp:docPr id="2" name="Picture 2" descr="C:\Users\dmaric\Desktop\1562265929_1551868904_grb_rep_hrvatske_465445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aric\Desktop\1562265929_1551868904_grb_rep_hrvatske_465445208.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8550" cy="1358900"/>
                    </a:xfrm>
                    <a:prstGeom prst="rect">
                      <a:avLst/>
                    </a:prstGeom>
                    <a:noFill/>
                    <a:ln>
                      <a:noFill/>
                    </a:ln>
                  </pic:spPr>
                </pic:pic>
              </a:graphicData>
            </a:graphic>
          </wp:inline>
        </w:drawing>
      </w:r>
      <w:r w:rsidRPr="0033148D">
        <w:rPr>
          <w:rFonts w:cstheme="minorHAnsi"/>
          <w:noProof/>
          <w:lang w:eastAsia="hr-HR"/>
        </w:rPr>
        <w:t xml:space="preserve"> </w:t>
      </w:r>
    </w:p>
    <w:p w14:paraId="093C6514" w14:textId="77777777" w:rsidR="0003770C" w:rsidRPr="0033148D" w:rsidRDefault="0003770C" w:rsidP="0033148D">
      <w:pPr>
        <w:autoSpaceDE w:val="0"/>
        <w:autoSpaceDN w:val="0"/>
        <w:adjustRightInd w:val="0"/>
        <w:spacing w:line="240" w:lineRule="auto"/>
        <w:jc w:val="center"/>
        <w:rPr>
          <w:rFonts w:cstheme="minorHAnsi"/>
          <w:b/>
          <w:bCs/>
          <w:sz w:val="28"/>
          <w:szCs w:val="28"/>
        </w:rPr>
      </w:pPr>
      <w:r w:rsidRPr="0033148D">
        <w:rPr>
          <w:rFonts w:cstheme="minorHAnsi"/>
          <w:b/>
          <w:bCs/>
          <w:sz w:val="28"/>
          <w:szCs w:val="28"/>
        </w:rPr>
        <w:t>VLADA REPUBLIKE HRVATSKE</w:t>
      </w:r>
    </w:p>
    <w:p w14:paraId="6CFE6A68" w14:textId="77777777" w:rsidR="0003770C" w:rsidRPr="0033148D" w:rsidRDefault="0003770C" w:rsidP="0033148D">
      <w:pPr>
        <w:autoSpaceDE w:val="0"/>
        <w:autoSpaceDN w:val="0"/>
        <w:adjustRightInd w:val="0"/>
        <w:spacing w:line="240" w:lineRule="auto"/>
        <w:rPr>
          <w:rFonts w:cstheme="minorHAnsi"/>
          <w:b/>
          <w:bCs/>
        </w:rPr>
      </w:pPr>
    </w:p>
    <w:p w14:paraId="7745162F" w14:textId="77777777" w:rsidR="00E41D13" w:rsidRPr="0033148D" w:rsidRDefault="00E41D13" w:rsidP="0033148D">
      <w:pPr>
        <w:autoSpaceDE w:val="0"/>
        <w:autoSpaceDN w:val="0"/>
        <w:adjustRightInd w:val="0"/>
        <w:spacing w:line="240" w:lineRule="auto"/>
        <w:rPr>
          <w:rFonts w:cstheme="minorHAnsi"/>
          <w:b/>
          <w:bCs/>
        </w:rPr>
      </w:pPr>
    </w:p>
    <w:p w14:paraId="3070F366" w14:textId="670898EE" w:rsidR="00E41D13" w:rsidRPr="0033148D" w:rsidRDefault="00E41D13" w:rsidP="0033148D">
      <w:pPr>
        <w:autoSpaceDE w:val="0"/>
        <w:autoSpaceDN w:val="0"/>
        <w:adjustRightInd w:val="0"/>
        <w:spacing w:line="240" w:lineRule="auto"/>
        <w:jc w:val="center"/>
        <w:rPr>
          <w:rFonts w:cstheme="minorHAnsi"/>
          <w:b/>
          <w:bCs/>
          <w:sz w:val="52"/>
          <w:szCs w:val="52"/>
        </w:rPr>
      </w:pPr>
    </w:p>
    <w:p w14:paraId="7836604D" w14:textId="77777777" w:rsidR="0003770C" w:rsidRPr="0033148D" w:rsidRDefault="0003770C" w:rsidP="0033148D">
      <w:pPr>
        <w:autoSpaceDE w:val="0"/>
        <w:autoSpaceDN w:val="0"/>
        <w:adjustRightInd w:val="0"/>
        <w:spacing w:line="240" w:lineRule="auto"/>
        <w:rPr>
          <w:rFonts w:cstheme="minorHAnsi"/>
          <w:b/>
          <w:bCs/>
        </w:rPr>
      </w:pPr>
    </w:p>
    <w:p w14:paraId="5919586A" w14:textId="4FDFCC7C" w:rsidR="0003770C" w:rsidRPr="0033148D" w:rsidRDefault="0003770C" w:rsidP="0033148D">
      <w:pPr>
        <w:spacing w:line="240" w:lineRule="auto"/>
        <w:ind w:left="-180" w:right="-288"/>
        <w:jc w:val="center"/>
        <w:rPr>
          <w:rFonts w:cstheme="minorHAnsi"/>
          <w:b/>
          <w:sz w:val="48"/>
          <w:szCs w:val="48"/>
        </w:rPr>
      </w:pPr>
      <w:r w:rsidRPr="0033148D">
        <w:rPr>
          <w:rFonts w:cstheme="minorHAnsi"/>
          <w:b/>
          <w:sz w:val="48"/>
          <w:szCs w:val="48"/>
        </w:rPr>
        <w:t xml:space="preserve">IZVJEŠĆE O PROVEDBI AKCIJSKOG PLANA ZA PROVEDBU INICIJATIVE PARTNERSTVO ZA OTVORENU VLAST U REPUBLICI HRVATSKOJ ZA RAZDOBLJE </w:t>
      </w:r>
      <w:r w:rsidR="00635D20" w:rsidRPr="0033148D">
        <w:rPr>
          <w:rFonts w:cstheme="minorHAnsi"/>
          <w:b/>
          <w:sz w:val="48"/>
          <w:szCs w:val="48"/>
        </w:rPr>
        <w:t xml:space="preserve">2022. </w:t>
      </w:r>
      <w:r w:rsidR="00A36246">
        <w:rPr>
          <w:rFonts w:cstheme="minorHAnsi"/>
          <w:b/>
          <w:sz w:val="48"/>
          <w:szCs w:val="48"/>
        </w:rPr>
        <w:t>-</w:t>
      </w:r>
      <w:r w:rsidR="00635D20" w:rsidRPr="0033148D">
        <w:rPr>
          <w:rFonts w:cstheme="minorHAnsi"/>
          <w:b/>
          <w:sz w:val="48"/>
          <w:szCs w:val="48"/>
        </w:rPr>
        <w:t xml:space="preserve"> </w:t>
      </w:r>
      <w:r w:rsidRPr="0033148D">
        <w:rPr>
          <w:rFonts w:cstheme="minorHAnsi"/>
          <w:b/>
          <w:sz w:val="48"/>
          <w:szCs w:val="48"/>
        </w:rPr>
        <w:t>202</w:t>
      </w:r>
      <w:r w:rsidR="005979EC" w:rsidRPr="0033148D">
        <w:rPr>
          <w:rFonts w:cstheme="minorHAnsi"/>
          <w:b/>
          <w:sz w:val="48"/>
          <w:szCs w:val="48"/>
        </w:rPr>
        <w:t>3</w:t>
      </w:r>
      <w:r w:rsidRPr="0033148D">
        <w:rPr>
          <w:rFonts w:cstheme="minorHAnsi"/>
          <w:b/>
          <w:sz w:val="48"/>
          <w:szCs w:val="48"/>
        </w:rPr>
        <w:t>. GODINE</w:t>
      </w:r>
    </w:p>
    <w:p w14:paraId="3C61D0D2" w14:textId="77777777" w:rsidR="0003770C" w:rsidRPr="0033148D" w:rsidRDefault="0003770C" w:rsidP="0033148D">
      <w:pPr>
        <w:spacing w:line="240" w:lineRule="auto"/>
        <w:rPr>
          <w:rFonts w:cstheme="minorHAnsi"/>
          <w:b/>
        </w:rPr>
      </w:pPr>
    </w:p>
    <w:p w14:paraId="5C9D0A34" w14:textId="77777777" w:rsidR="0003770C" w:rsidRPr="0033148D" w:rsidRDefault="0003770C" w:rsidP="0033148D">
      <w:pPr>
        <w:spacing w:line="240" w:lineRule="auto"/>
        <w:rPr>
          <w:rFonts w:cstheme="minorHAnsi"/>
          <w:b/>
        </w:rPr>
      </w:pPr>
    </w:p>
    <w:p w14:paraId="0F9D5665" w14:textId="6E8D8F49" w:rsidR="0003770C" w:rsidRPr="0033148D" w:rsidRDefault="0003770C" w:rsidP="0033148D">
      <w:pPr>
        <w:spacing w:line="240" w:lineRule="auto"/>
        <w:ind w:left="720"/>
        <w:contextualSpacing/>
        <w:jc w:val="center"/>
        <w:rPr>
          <w:rFonts w:cstheme="minorHAnsi"/>
          <w:b/>
          <w:sz w:val="28"/>
          <w:szCs w:val="28"/>
        </w:rPr>
      </w:pPr>
      <w:r w:rsidRPr="0033148D">
        <w:rPr>
          <w:rFonts w:cstheme="minorHAnsi"/>
          <w:b/>
          <w:bCs/>
          <w:sz w:val="28"/>
          <w:szCs w:val="28"/>
        </w:rPr>
        <w:t xml:space="preserve">Zagreb, </w:t>
      </w:r>
      <w:r w:rsidR="0032165B">
        <w:rPr>
          <w:rFonts w:cstheme="minorHAnsi"/>
          <w:b/>
          <w:bCs/>
          <w:sz w:val="28"/>
          <w:szCs w:val="28"/>
        </w:rPr>
        <w:t>studeni</w:t>
      </w:r>
      <w:r w:rsidR="0032165B" w:rsidRPr="0033148D">
        <w:rPr>
          <w:rFonts w:cstheme="minorHAnsi"/>
          <w:b/>
          <w:bCs/>
          <w:sz w:val="28"/>
          <w:szCs w:val="28"/>
        </w:rPr>
        <w:t xml:space="preserve"> </w:t>
      </w:r>
      <w:r w:rsidR="005979EC" w:rsidRPr="0033148D">
        <w:rPr>
          <w:rFonts w:cstheme="minorHAnsi"/>
          <w:b/>
          <w:bCs/>
          <w:sz w:val="28"/>
          <w:szCs w:val="28"/>
        </w:rPr>
        <w:t>2024</w:t>
      </w:r>
      <w:r w:rsidRPr="0033148D">
        <w:rPr>
          <w:rFonts w:cstheme="minorHAnsi"/>
          <w:b/>
          <w:bCs/>
          <w:sz w:val="28"/>
          <w:szCs w:val="28"/>
        </w:rPr>
        <w:t>.</w:t>
      </w:r>
    </w:p>
    <w:p w14:paraId="22080A94" w14:textId="77777777" w:rsidR="0003770C" w:rsidRPr="0033148D" w:rsidRDefault="0003770C" w:rsidP="00267611">
      <w:pPr>
        <w:pStyle w:val="Heading1"/>
      </w:pPr>
      <w:r w:rsidRPr="0033148D">
        <w:br w:type="page"/>
      </w:r>
    </w:p>
    <w:p w14:paraId="298A97D9" w14:textId="77777777" w:rsidR="00213B2B" w:rsidRPr="0033148D" w:rsidRDefault="00213B2B" w:rsidP="0033148D">
      <w:pPr>
        <w:spacing w:line="240" w:lineRule="auto"/>
        <w:rPr>
          <w:rFonts w:cstheme="minorHAnsi"/>
          <w:b/>
        </w:rPr>
        <w:sectPr w:rsidR="00213B2B" w:rsidRPr="0033148D" w:rsidSect="00213B2B">
          <w:footerReference w:type="default" r:id="rId13"/>
          <w:pgSz w:w="16830" w:h="11910" w:orient="landscape"/>
          <w:pgMar w:top="720" w:right="720" w:bottom="720" w:left="720" w:header="720" w:footer="720" w:gutter="0"/>
          <w:pgNumType w:start="0"/>
          <w:cols w:space="720"/>
          <w:docGrid w:linePitch="299"/>
        </w:sectPr>
      </w:pPr>
    </w:p>
    <w:p w14:paraId="7C46CBE8" w14:textId="605647B1" w:rsidR="00C313C1" w:rsidRPr="001C1A3A" w:rsidRDefault="00C313C1" w:rsidP="00267611">
      <w:pPr>
        <w:pStyle w:val="TOC1"/>
      </w:pPr>
      <w:r w:rsidRPr="001C1A3A">
        <w:lastRenderedPageBreak/>
        <w:t>SADRŽAJ</w:t>
      </w:r>
      <w:r>
        <w:t>:</w:t>
      </w:r>
      <w:bookmarkStart w:id="0" w:name="_GoBack"/>
      <w:bookmarkEnd w:id="0"/>
    </w:p>
    <w:p w14:paraId="3C8A2DAD" w14:textId="29A2F96C" w:rsidR="00306FB6" w:rsidRDefault="00C313C1">
      <w:pPr>
        <w:pStyle w:val="TOC1"/>
        <w:rPr>
          <w:rFonts w:eastAsiaTheme="minorEastAsia"/>
          <w:b w:val="0"/>
          <w:noProof/>
          <w:lang w:eastAsia="hr-HR"/>
        </w:rPr>
      </w:pPr>
      <w:r>
        <w:fldChar w:fldCharType="begin"/>
      </w:r>
      <w:r>
        <w:instrText xml:space="preserve"> TOC \o "1-4" \h \z \u </w:instrText>
      </w:r>
      <w:r>
        <w:fldChar w:fldCharType="separate"/>
      </w:r>
      <w:hyperlink w:anchor="_Toc183591309" w:history="1">
        <w:r w:rsidR="00306FB6" w:rsidRPr="009E238B">
          <w:rPr>
            <w:rStyle w:val="Hyperlink"/>
            <w:noProof/>
          </w:rPr>
          <w:t>KAZALO SKRAĆENICA</w:t>
        </w:r>
        <w:r w:rsidR="00306FB6">
          <w:rPr>
            <w:noProof/>
            <w:webHidden/>
          </w:rPr>
          <w:tab/>
        </w:r>
        <w:r w:rsidR="00306FB6">
          <w:rPr>
            <w:noProof/>
            <w:webHidden/>
          </w:rPr>
          <w:fldChar w:fldCharType="begin"/>
        </w:r>
        <w:r w:rsidR="00306FB6">
          <w:rPr>
            <w:noProof/>
            <w:webHidden/>
          </w:rPr>
          <w:instrText xml:space="preserve"> PAGEREF _Toc183591309 \h </w:instrText>
        </w:r>
        <w:r w:rsidR="00306FB6">
          <w:rPr>
            <w:noProof/>
            <w:webHidden/>
          </w:rPr>
        </w:r>
        <w:r w:rsidR="00306FB6">
          <w:rPr>
            <w:noProof/>
            <w:webHidden/>
          </w:rPr>
          <w:fldChar w:fldCharType="separate"/>
        </w:r>
        <w:r w:rsidR="00306FB6">
          <w:rPr>
            <w:noProof/>
            <w:webHidden/>
          </w:rPr>
          <w:t>2</w:t>
        </w:r>
        <w:r w:rsidR="00306FB6">
          <w:rPr>
            <w:noProof/>
            <w:webHidden/>
          </w:rPr>
          <w:fldChar w:fldCharType="end"/>
        </w:r>
      </w:hyperlink>
    </w:p>
    <w:p w14:paraId="1C071007" w14:textId="5A20D038" w:rsidR="00306FB6" w:rsidRDefault="00306FB6">
      <w:pPr>
        <w:pStyle w:val="TOC1"/>
        <w:rPr>
          <w:rFonts w:eastAsiaTheme="minorEastAsia"/>
          <w:b w:val="0"/>
          <w:noProof/>
          <w:lang w:eastAsia="hr-HR"/>
        </w:rPr>
      </w:pPr>
      <w:hyperlink w:anchor="_Toc183591310" w:history="1">
        <w:r w:rsidRPr="009E238B">
          <w:rPr>
            <w:rStyle w:val="Hyperlink"/>
            <w:noProof/>
          </w:rPr>
          <w:t>1. Uvod</w:t>
        </w:r>
        <w:r>
          <w:rPr>
            <w:noProof/>
            <w:webHidden/>
          </w:rPr>
          <w:tab/>
        </w:r>
        <w:r>
          <w:rPr>
            <w:noProof/>
            <w:webHidden/>
          </w:rPr>
          <w:fldChar w:fldCharType="begin"/>
        </w:r>
        <w:r>
          <w:rPr>
            <w:noProof/>
            <w:webHidden/>
          </w:rPr>
          <w:instrText xml:space="preserve"> PAGEREF _Toc183591310 \h </w:instrText>
        </w:r>
        <w:r>
          <w:rPr>
            <w:noProof/>
            <w:webHidden/>
          </w:rPr>
        </w:r>
        <w:r>
          <w:rPr>
            <w:noProof/>
            <w:webHidden/>
          </w:rPr>
          <w:fldChar w:fldCharType="separate"/>
        </w:r>
        <w:r>
          <w:rPr>
            <w:noProof/>
            <w:webHidden/>
          </w:rPr>
          <w:t>3</w:t>
        </w:r>
        <w:r>
          <w:rPr>
            <w:noProof/>
            <w:webHidden/>
          </w:rPr>
          <w:fldChar w:fldCharType="end"/>
        </w:r>
      </w:hyperlink>
    </w:p>
    <w:p w14:paraId="55FEAFA3" w14:textId="1E38F680" w:rsidR="00306FB6" w:rsidRDefault="00306FB6">
      <w:pPr>
        <w:pStyle w:val="TOC1"/>
        <w:rPr>
          <w:rFonts w:eastAsiaTheme="minorEastAsia"/>
          <w:b w:val="0"/>
          <w:noProof/>
          <w:lang w:eastAsia="hr-HR"/>
        </w:rPr>
      </w:pPr>
      <w:hyperlink w:anchor="_Toc183591311" w:history="1">
        <w:r w:rsidRPr="009E238B">
          <w:rPr>
            <w:rStyle w:val="Hyperlink"/>
            <w:noProof/>
          </w:rPr>
          <w:t>2. Participativni proces praćenja napretka u provedbi Akcijskog plana</w:t>
        </w:r>
        <w:r>
          <w:rPr>
            <w:noProof/>
            <w:webHidden/>
          </w:rPr>
          <w:tab/>
        </w:r>
        <w:r>
          <w:rPr>
            <w:noProof/>
            <w:webHidden/>
          </w:rPr>
          <w:fldChar w:fldCharType="begin"/>
        </w:r>
        <w:r>
          <w:rPr>
            <w:noProof/>
            <w:webHidden/>
          </w:rPr>
          <w:instrText xml:space="preserve"> PAGEREF _Toc183591311 \h </w:instrText>
        </w:r>
        <w:r>
          <w:rPr>
            <w:noProof/>
            <w:webHidden/>
          </w:rPr>
        </w:r>
        <w:r>
          <w:rPr>
            <w:noProof/>
            <w:webHidden/>
          </w:rPr>
          <w:fldChar w:fldCharType="separate"/>
        </w:r>
        <w:r>
          <w:rPr>
            <w:noProof/>
            <w:webHidden/>
          </w:rPr>
          <w:t>4</w:t>
        </w:r>
        <w:r>
          <w:rPr>
            <w:noProof/>
            <w:webHidden/>
          </w:rPr>
          <w:fldChar w:fldCharType="end"/>
        </w:r>
      </w:hyperlink>
    </w:p>
    <w:p w14:paraId="26A4EAEA" w14:textId="476FDC3B" w:rsidR="00306FB6" w:rsidRDefault="00306FB6">
      <w:pPr>
        <w:pStyle w:val="TOC1"/>
        <w:rPr>
          <w:rFonts w:eastAsiaTheme="minorEastAsia"/>
          <w:b w:val="0"/>
          <w:noProof/>
          <w:lang w:eastAsia="hr-HR"/>
        </w:rPr>
      </w:pPr>
      <w:hyperlink w:anchor="_Toc183591312" w:history="1">
        <w:r w:rsidRPr="009E238B">
          <w:rPr>
            <w:rStyle w:val="Hyperlink"/>
            <w:noProof/>
          </w:rPr>
          <w:t>3. Novosti i izmjene tijekom provedbe Akcijskog plana</w:t>
        </w:r>
        <w:r>
          <w:rPr>
            <w:noProof/>
            <w:webHidden/>
          </w:rPr>
          <w:tab/>
        </w:r>
        <w:r>
          <w:rPr>
            <w:noProof/>
            <w:webHidden/>
          </w:rPr>
          <w:fldChar w:fldCharType="begin"/>
        </w:r>
        <w:r>
          <w:rPr>
            <w:noProof/>
            <w:webHidden/>
          </w:rPr>
          <w:instrText xml:space="preserve"> PAGEREF _Toc183591312 \h </w:instrText>
        </w:r>
        <w:r>
          <w:rPr>
            <w:noProof/>
            <w:webHidden/>
          </w:rPr>
        </w:r>
        <w:r>
          <w:rPr>
            <w:noProof/>
            <w:webHidden/>
          </w:rPr>
          <w:fldChar w:fldCharType="separate"/>
        </w:r>
        <w:r>
          <w:rPr>
            <w:noProof/>
            <w:webHidden/>
          </w:rPr>
          <w:t>4</w:t>
        </w:r>
        <w:r>
          <w:rPr>
            <w:noProof/>
            <w:webHidden/>
          </w:rPr>
          <w:fldChar w:fldCharType="end"/>
        </w:r>
      </w:hyperlink>
    </w:p>
    <w:p w14:paraId="1FD4DFA9" w14:textId="4E6910FF" w:rsidR="00306FB6" w:rsidRDefault="00306FB6">
      <w:pPr>
        <w:pStyle w:val="TOC1"/>
        <w:rPr>
          <w:rFonts w:eastAsiaTheme="minorEastAsia"/>
          <w:b w:val="0"/>
          <w:noProof/>
          <w:lang w:eastAsia="hr-HR"/>
        </w:rPr>
      </w:pPr>
      <w:hyperlink w:anchor="_Toc183591313" w:history="1">
        <w:r w:rsidRPr="009E238B">
          <w:rPr>
            <w:rStyle w:val="Hyperlink"/>
            <w:noProof/>
          </w:rPr>
          <w:t>4. Razmjena iskustava</w:t>
        </w:r>
        <w:r>
          <w:rPr>
            <w:noProof/>
            <w:webHidden/>
          </w:rPr>
          <w:tab/>
        </w:r>
        <w:r>
          <w:rPr>
            <w:noProof/>
            <w:webHidden/>
          </w:rPr>
          <w:fldChar w:fldCharType="begin"/>
        </w:r>
        <w:r>
          <w:rPr>
            <w:noProof/>
            <w:webHidden/>
          </w:rPr>
          <w:instrText xml:space="preserve"> PAGEREF _Toc183591313 \h </w:instrText>
        </w:r>
        <w:r>
          <w:rPr>
            <w:noProof/>
            <w:webHidden/>
          </w:rPr>
        </w:r>
        <w:r>
          <w:rPr>
            <w:noProof/>
            <w:webHidden/>
          </w:rPr>
          <w:fldChar w:fldCharType="separate"/>
        </w:r>
        <w:r>
          <w:rPr>
            <w:noProof/>
            <w:webHidden/>
          </w:rPr>
          <w:t>5</w:t>
        </w:r>
        <w:r>
          <w:rPr>
            <w:noProof/>
            <w:webHidden/>
          </w:rPr>
          <w:fldChar w:fldCharType="end"/>
        </w:r>
      </w:hyperlink>
    </w:p>
    <w:p w14:paraId="44952944" w14:textId="0F93C8B5" w:rsidR="00306FB6" w:rsidRDefault="00306FB6">
      <w:pPr>
        <w:pStyle w:val="TOC1"/>
        <w:rPr>
          <w:rFonts w:eastAsiaTheme="minorEastAsia"/>
          <w:b w:val="0"/>
          <w:noProof/>
          <w:lang w:eastAsia="hr-HR"/>
        </w:rPr>
      </w:pPr>
      <w:hyperlink w:anchor="_Toc183591314" w:history="1">
        <w:r w:rsidRPr="009E238B">
          <w:rPr>
            <w:rStyle w:val="Hyperlink"/>
            <w:noProof/>
          </w:rPr>
          <w:t>5. Sažetak provedbe mjera i aktivnosti</w:t>
        </w:r>
        <w:r>
          <w:rPr>
            <w:noProof/>
            <w:webHidden/>
          </w:rPr>
          <w:tab/>
        </w:r>
        <w:r>
          <w:rPr>
            <w:noProof/>
            <w:webHidden/>
          </w:rPr>
          <w:fldChar w:fldCharType="begin"/>
        </w:r>
        <w:r>
          <w:rPr>
            <w:noProof/>
            <w:webHidden/>
          </w:rPr>
          <w:instrText xml:space="preserve"> PAGEREF _Toc183591314 \h </w:instrText>
        </w:r>
        <w:r>
          <w:rPr>
            <w:noProof/>
            <w:webHidden/>
          </w:rPr>
        </w:r>
        <w:r>
          <w:rPr>
            <w:noProof/>
            <w:webHidden/>
          </w:rPr>
          <w:fldChar w:fldCharType="separate"/>
        </w:r>
        <w:r>
          <w:rPr>
            <w:noProof/>
            <w:webHidden/>
          </w:rPr>
          <w:t>5</w:t>
        </w:r>
        <w:r>
          <w:rPr>
            <w:noProof/>
            <w:webHidden/>
          </w:rPr>
          <w:fldChar w:fldCharType="end"/>
        </w:r>
      </w:hyperlink>
    </w:p>
    <w:p w14:paraId="295CEB7F" w14:textId="360FAA02" w:rsidR="00306FB6" w:rsidRDefault="00306FB6">
      <w:pPr>
        <w:pStyle w:val="TOC1"/>
        <w:rPr>
          <w:rFonts w:eastAsiaTheme="minorEastAsia"/>
          <w:b w:val="0"/>
          <w:noProof/>
          <w:lang w:eastAsia="hr-HR"/>
        </w:rPr>
      </w:pPr>
      <w:hyperlink w:anchor="_Toc183591315" w:history="1">
        <w:r w:rsidRPr="009E238B">
          <w:rPr>
            <w:rStyle w:val="Hyperlink"/>
            <w:noProof/>
          </w:rPr>
          <w:t>6. Provedba mjera i aktivnosti Akcijskog plana za provedbu inicijative Partnerstvo za otvorenu vlast u Republici Hrvatskoj za razdoblje 2022. – 2023. godine</w:t>
        </w:r>
        <w:r>
          <w:rPr>
            <w:noProof/>
            <w:webHidden/>
          </w:rPr>
          <w:tab/>
        </w:r>
        <w:r>
          <w:rPr>
            <w:noProof/>
            <w:webHidden/>
          </w:rPr>
          <w:fldChar w:fldCharType="begin"/>
        </w:r>
        <w:r>
          <w:rPr>
            <w:noProof/>
            <w:webHidden/>
          </w:rPr>
          <w:instrText xml:space="preserve"> PAGEREF _Toc183591315 \h </w:instrText>
        </w:r>
        <w:r>
          <w:rPr>
            <w:noProof/>
            <w:webHidden/>
          </w:rPr>
        </w:r>
        <w:r>
          <w:rPr>
            <w:noProof/>
            <w:webHidden/>
          </w:rPr>
          <w:fldChar w:fldCharType="separate"/>
        </w:r>
        <w:r>
          <w:rPr>
            <w:noProof/>
            <w:webHidden/>
          </w:rPr>
          <w:t>9</w:t>
        </w:r>
        <w:r>
          <w:rPr>
            <w:noProof/>
            <w:webHidden/>
          </w:rPr>
          <w:fldChar w:fldCharType="end"/>
        </w:r>
      </w:hyperlink>
    </w:p>
    <w:p w14:paraId="6CC34026" w14:textId="1E03AB7A" w:rsidR="00306FB6" w:rsidRDefault="00306FB6">
      <w:pPr>
        <w:pStyle w:val="TOC2"/>
        <w:tabs>
          <w:tab w:val="right" w:leader="dot" w:pos="15380"/>
        </w:tabs>
        <w:rPr>
          <w:rFonts w:eastAsiaTheme="minorEastAsia"/>
          <w:noProof/>
          <w:lang w:eastAsia="hr-HR"/>
        </w:rPr>
      </w:pPr>
      <w:hyperlink w:anchor="_Toc183591316" w:history="1">
        <w:r w:rsidRPr="009E238B">
          <w:rPr>
            <w:rStyle w:val="Hyperlink"/>
            <w:b/>
            <w:noProof/>
          </w:rPr>
          <w:t>A – TRANSPARENTNOST</w:t>
        </w:r>
        <w:r>
          <w:rPr>
            <w:noProof/>
            <w:webHidden/>
          </w:rPr>
          <w:tab/>
        </w:r>
        <w:r>
          <w:rPr>
            <w:noProof/>
            <w:webHidden/>
          </w:rPr>
          <w:fldChar w:fldCharType="begin"/>
        </w:r>
        <w:r>
          <w:rPr>
            <w:noProof/>
            <w:webHidden/>
          </w:rPr>
          <w:instrText xml:space="preserve"> PAGEREF _Toc183591316 \h </w:instrText>
        </w:r>
        <w:r>
          <w:rPr>
            <w:noProof/>
            <w:webHidden/>
          </w:rPr>
        </w:r>
        <w:r>
          <w:rPr>
            <w:noProof/>
            <w:webHidden/>
          </w:rPr>
          <w:fldChar w:fldCharType="separate"/>
        </w:r>
        <w:r>
          <w:rPr>
            <w:noProof/>
            <w:webHidden/>
          </w:rPr>
          <w:t>9</w:t>
        </w:r>
        <w:r>
          <w:rPr>
            <w:noProof/>
            <w:webHidden/>
          </w:rPr>
          <w:fldChar w:fldCharType="end"/>
        </w:r>
      </w:hyperlink>
    </w:p>
    <w:p w14:paraId="1980E9EB" w14:textId="47E5953F" w:rsidR="00306FB6" w:rsidRDefault="00306FB6">
      <w:pPr>
        <w:pStyle w:val="TOC3"/>
        <w:tabs>
          <w:tab w:val="right" w:leader="dot" w:pos="15380"/>
        </w:tabs>
        <w:rPr>
          <w:rFonts w:eastAsiaTheme="minorEastAsia"/>
          <w:noProof/>
          <w:lang w:eastAsia="hr-HR"/>
        </w:rPr>
      </w:pPr>
      <w:hyperlink w:anchor="_Toc183591317" w:history="1">
        <w:r w:rsidRPr="009E238B">
          <w:rPr>
            <w:rStyle w:val="Hyperlink"/>
            <w:noProof/>
          </w:rPr>
          <w:t xml:space="preserve">MJERA 1 - </w:t>
        </w:r>
        <w:r w:rsidRPr="009E238B">
          <w:rPr>
            <w:rStyle w:val="Hyperlink"/>
            <w:noProof/>
            <w:lang w:eastAsia="hr-HR"/>
          </w:rPr>
          <w:t>UNAPRJEĐENJE PROVEDBE ZAKONA O PRAVU NA PRISTUP INFORMACIJAMA</w:t>
        </w:r>
        <w:r>
          <w:rPr>
            <w:noProof/>
            <w:webHidden/>
          </w:rPr>
          <w:tab/>
        </w:r>
        <w:r>
          <w:rPr>
            <w:noProof/>
            <w:webHidden/>
          </w:rPr>
          <w:fldChar w:fldCharType="begin"/>
        </w:r>
        <w:r>
          <w:rPr>
            <w:noProof/>
            <w:webHidden/>
          </w:rPr>
          <w:instrText xml:space="preserve"> PAGEREF _Toc183591317 \h </w:instrText>
        </w:r>
        <w:r>
          <w:rPr>
            <w:noProof/>
            <w:webHidden/>
          </w:rPr>
        </w:r>
        <w:r>
          <w:rPr>
            <w:noProof/>
            <w:webHidden/>
          </w:rPr>
          <w:fldChar w:fldCharType="separate"/>
        </w:r>
        <w:r>
          <w:rPr>
            <w:noProof/>
            <w:webHidden/>
          </w:rPr>
          <w:t>9</w:t>
        </w:r>
        <w:r>
          <w:rPr>
            <w:noProof/>
            <w:webHidden/>
          </w:rPr>
          <w:fldChar w:fldCharType="end"/>
        </w:r>
      </w:hyperlink>
    </w:p>
    <w:p w14:paraId="019A9672" w14:textId="7A2695EC" w:rsidR="00306FB6" w:rsidRDefault="00306FB6">
      <w:pPr>
        <w:pStyle w:val="TOC3"/>
        <w:tabs>
          <w:tab w:val="right" w:leader="dot" w:pos="15380"/>
        </w:tabs>
        <w:rPr>
          <w:rFonts w:eastAsiaTheme="minorEastAsia"/>
          <w:noProof/>
          <w:lang w:eastAsia="hr-HR"/>
        </w:rPr>
      </w:pPr>
      <w:hyperlink w:anchor="_Toc183591318" w:history="1">
        <w:r w:rsidRPr="009E238B">
          <w:rPr>
            <w:rStyle w:val="Hyperlink"/>
            <w:noProof/>
          </w:rPr>
          <w:t>MJERA 2. UNAPRJEĐENJE PRIMJENE PROPISA KOJI UREĐUJU PODRUČJE ZAŠTITE OSOBNIH PODATAKA</w:t>
        </w:r>
        <w:r>
          <w:rPr>
            <w:noProof/>
            <w:webHidden/>
          </w:rPr>
          <w:tab/>
        </w:r>
        <w:r>
          <w:rPr>
            <w:noProof/>
            <w:webHidden/>
          </w:rPr>
          <w:fldChar w:fldCharType="begin"/>
        </w:r>
        <w:r>
          <w:rPr>
            <w:noProof/>
            <w:webHidden/>
          </w:rPr>
          <w:instrText xml:space="preserve"> PAGEREF _Toc183591318 \h </w:instrText>
        </w:r>
        <w:r>
          <w:rPr>
            <w:noProof/>
            <w:webHidden/>
          </w:rPr>
        </w:r>
        <w:r>
          <w:rPr>
            <w:noProof/>
            <w:webHidden/>
          </w:rPr>
          <w:fldChar w:fldCharType="separate"/>
        </w:r>
        <w:r>
          <w:rPr>
            <w:noProof/>
            <w:webHidden/>
          </w:rPr>
          <w:t>15</w:t>
        </w:r>
        <w:r>
          <w:rPr>
            <w:noProof/>
            <w:webHidden/>
          </w:rPr>
          <w:fldChar w:fldCharType="end"/>
        </w:r>
      </w:hyperlink>
    </w:p>
    <w:p w14:paraId="228A3E20" w14:textId="495A1058" w:rsidR="00306FB6" w:rsidRDefault="00306FB6">
      <w:pPr>
        <w:pStyle w:val="TOC3"/>
        <w:tabs>
          <w:tab w:val="right" w:leader="dot" w:pos="15380"/>
        </w:tabs>
        <w:rPr>
          <w:rFonts w:eastAsiaTheme="minorEastAsia"/>
          <w:noProof/>
          <w:lang w:eastAsia="hr-HR"/>
        </w:rPr>
      </w:pPr>
      <w:hyperlink w:anchor="_Toc183591319" w:history="1">
        <w:r w:rsidRPr="009E238B">
          <w:rPr>
            <w:rStyle w:val="Hyperlink"/>
            <w:noProof/>
          </w:rPr>
          <w:t>MJERA 3. FISKALNA TRANSPARENTNOST</w:t>
        </w:r>
        <w:r>
          <w:rPr>
            <w:noProof/>
            <w:webHidden/>
          </w:rPr>
          <w:tab/>
        </w:r>
        <w:r>
          <w:rPr>
            <w:noProof/>
            <w:webHidden/>
          </w:rPr>
          <w:fldChar w:fldCharType="begin"/>
        </w:r>
        <w:r>
          <w:rPr>
            <w:noProof/>
            <w:webHidden/>
          </w:rPr>
          <w:instrText xml:space="preserve"> PAGEREF _Toc183591319 \h </w:instrText>
        </w:r>
        <w:r>
          <w:rPr>
            <w:noProof/>
            <w:webHidden/>
          </w:rPr>
        </w:r>
        <w:r>
          <w:rPr>
            <w:noProof/>
            <w:webHidden/>
          </w:rPr>
          <w:fldChar w:fldCharType="separate"/>
        </w:r>
        <w:r>
          <w:rPr>
            <w:noProof/>
            <w:webHidden/>
          </w:rPr>
          <w:t>16</w:t>
        </w:r>
        <w:r>
          <w:rPr>
            <w:noProof/>
            <w:webHidden/>
          </w:rPr>
          <w:fldChar w:fldCharType="end"/>
        </w:r>
      </w:hyperlink>
    </w:p>
    <w:p w14:paraId="2C7E19A2" w14:textId="27C959BD" w:rsidR="00306FB6" w:rsidRDefault="00306FB6">
      <w:pPr>
        <w:pStyle w:val="TOC3"/>
        <w:tabs>
          <w:tab w:val="right" w:leader="dot" w:pos="15380"/>
        </w:tabs>
        <w:rPr>
          <w:rFonts w:eastAsiaTheme="minorEastAsia"/>
          <w:noProof/>
          <w:lang w:eastAsia="hr-HR"/>
        </w:rPr>
      </w:pPr>
      <w:hyperlink w:anchor="_Toc183591320" w:history="1">
        <w:r w:rsidRPr="009E238B">
          <w:rPr>
            <w:rStyle w:val="Hyperlink"/>
            <w:noProof/>
          </w:rPr>
          <w:t>MJERA 4. - OTVORENOST I TRANSPARENTNOST HRVATSKOGA SABORA</w:t>
        </w:r>
        <w:r>
          <w:rPr>
            <w:noProof/>
            <w:webHidden/>
          </w:rPr>
          <w:tab/>
        </w:r>
        <w:r>
          <w:rPr>
            <w:noProof/>
            <w:webHidden/>
          </w:rPr>
          <w:fldChar w:fldCharType="begin"/>
        </w:r>
        <w:r>
          <w:rPr>
            <w:noProof/>
            <w:webHidden/>
          </w:rPr>
          <w:instrText xml:space="preserve"> PAGEREF _Toc183591320 \h </w:instrText>
        </w:r>
        <w:r>
          <w:rPr>
            <w:noProof/>
            <w:webHidden/>
          </w:rPr>
        </w:r>
        <w:r>
          <w:rPr>
            <w:noProof/>
            <w:webHidden/>
          </w:rPr>
          <w:fldChar w:fldCharType="separate"/>
        </w:r>
        <w:r>
          <w:rPr>
            <w:noProof/>
            <w:webHidden/>
          </w:rPr>
          <w:t>23</w:t>
        </w:r>
        <w:r>
          <w:rPr>
            <w:noProof/>
            <w:webHidden/>
          </w:rPr>
          <w:fldChar w:fldCharType="end"/>
        </w:r>
      </w:hyperlink>
    </w:p>
    <w:p w14:paraId="7CAA302E" w14:textId="6474B4C5" w:rsidR="00306FB6" w:rsidRDefault="00306FB6">
      <w:pPr>
        <w:pStyle w:val="TOC3"/>
        <w:tabs>
          <w:tab w:val="right" w:leader="dot" w:pos="15380"/>
        </w:tabs>
        <w:rPr>
          <w:rFonts w:eastAsiaTheme="minorEastAsia"/>
          <w:noProof/>
          <w:lang w:eastAsia="hr-HR"/>
        </w:rPr>
      </w:pPr>
      <w:hyperlink w:anchor="_Toc183591321" w:history="1">
        <w:r w:rsidRPr="009E238B">
          <w:rPr>
            <w:rStyle w:val="Hyperlink"/>
            <w:noProof/>
          </w:rPr>
          <w:t>MJERA 5. - UNAPRJEĐENJE TRANSPARENTNOSTI I FINANCIRANJA REFERENDUMSKE AKTIVNOSTI</w:t>
        </w:r>
        <w:r>
          <w:rPr>
            <w:noProof/>
            <w:webHidden/>
          </w:rPr>
          <w:tab/>
        </w:r>
        <w:r>
          <w:rPr>
            <w:noProof/>
            <w:webHidden/>
          </w:rPr>
          <w:fldChar w:fldCharType="begin"/>
        </w:r>
        <w:r>
          <w:rPr>
            <w:noProof/>
            <w:webHidden/>
          </w:rPr>
          <w:instrText xml:space="preserve"> PAGEREF _Toc183591321 \h </w:instrText>
        </w:r>
        <w:r>
          <w:rPr>
            <w:noProof/>
            <w:webHidden/>
          </w:rPr>
        </w:r>
        <w:r>
          <w:rPr>
            <w:noProof/>
            <w:webHidden/>
          </w:rPr>
          <w:fldChar w:fldCharType="separate"/>
        </w:r>
        <w:r>
          <w:rPr>
            <w:noProof/>
            <w:webHidden/>
          </w:rPr>
          <w:t>26</w:t>
        </w:r>
        <w:r>
          <w:rPr>
            <w:noProof/>
            <w:webHidden/>
          </w:rPr>
          <w:fldChar w:fldCharType="end"/>
        </w:r>
      </w:hyperlink>
    </w:p>
    <w:p w14:paraId="2807527B" w14:textId="28B25EC7" w:rsidR="00306FB6" w:rsidRDefault="00306FB6">
      <w:pPr>
        <w:pStyle w:val="TOC3"/>
        <w:tabs>
          <w:tab w:val="right" w:leader="dot" w:pos="15380"/>
        </w:tabs>
        <w:rPr>
          <w:rFonts w:eastAsiaTheme="minorEastAsia"/>
          <w:noProof/>
          <w:lang w:eastAsia="hr-HR"/>
        </w:rPr>
      </w:pPr>
      <w:hyperlink w:anchor="_Toc183591322" w:history="1">
        <w:r w:rsidRPr="009E238B">
          <w:rPr>
            <w:rStyle w:val="Hyperlink"/>
            <w:noProof/>
          </w:rPr>
          <w:t>MJERA 6 - UNAPRJEĐENJE TRANSPARENTNOSTI DJELOVANJA I FINANCIRANJA PROGRAMA I PROJEKATA ORGANIZACIJA CIVILNOGA DRUŠTVA</w:t>
        </w:r>
        <w:r>
          <w:rPr>
            <w:noProof/>
            <w:webHidden/>
          </w:rPr>
          <w:tab/>
        </w:r>
        <w:r>
          <w:rPr>
            <w:noProof/>
            <w:webHidden/>
          </w:rPr>
          <w:fldChar w:fldCharType="begin"/>
        </w:r>
        <w:r>
          <w:rPr>
            <w:noProof/>
            <w:webHidden/>
          </w:rPr>
          <w:instrText xml:space="preserve"> PAGEREF _Toc183591322 \h </w:instrText>
        </w:r>
        <w:r>
          <w:rPr>
            <w:noProof/>
            <w:webHidden/>
          </w:rPr>
        </w:r>
        <w:r>
          <w:rPr>
            <w:noProof/>
            <w:webHidden/>
          </w:rPr>
          <w:fldChar w:fldCharType="separate"/>
        </w:r>
        <w:r>
          <w:rPr>
            <w:noProof/>
            <w:webHidden/>
          </w:rPr>
          <w:t>28</w:t>
        </w:r>
        <w:r>
          <w:rPr>
            <w:noProof/>
            <w:webHidden/>
          </w:rPr>
          <w:fldChar w:fldCharType="end"/>
        </w:r>
      </w:hyperlink>
    </w:p>
    <w:p w14:paraId="3BF3FAFF" w14:textId="104C6156" w:rsidR="00306FB6" w:rsidRDefault="00306FB6">
      <w:pPr>
        <w:pStyle w:val="TOC3"/>
        <w:tabs>
          <w:tab w:val="right" w:leader="dot" w:pos="15380"/>
        </w:tabs>
        <w:rPr>
          <w:rFonts w:eastAsiaTheme="minorEastAsia"/>
          <w:noProof/>
          <w:lang w:eastAsia="hr-HR"/>
        </w:rPr>
      </w:pPr>
      <w:hyperlink w:anchor="_Toc183591323" w:history="1">
        <w:r w:rsidRPr="009E238B">
          <w:rPr>
            <w:rStyle w:val="Hyperlink"/>
            <w:noProof/>
          </w:rPr>
          <w:t>MJERA 7 – JAČANJE TRANSPARENTNOSTI I ODGOVORNOSTI NA RAZINI TRGOVAČKIH DRUŠTAVA U VEĆINSKOM VLASNIŠTVU JEDINICA LOKALNE I PODRUČNE (REGIONALNE) SAMOUPRAVE</w:t>
        </w:r>
        <w:r>
          <w:rPr>
            <w:noProof/>
            <w:webHidden/>
          </w:rPr>
          <w:tab/>
        </w:r>
        <w:r>
          <w:rPr>
            <w:noProof/>
            <w:webHidden/>
          </w:rPr>
          <w:fldChar w:fldCharType="begin"/>
        </w:r>
        <w:r>
          <w:rPr>
            <w:noProof/>
            <w:webHidden/>
          </w:rPr>
          <w:instrText xml:space="preserve"> PAGEREF _Toc183591323 \h </w:instrText>
        </w:r>
        <w:r>
          <w:rPr>
            <w:noProof/>
            <w:webHidden/>
          </w:rPr>
        </w:r>
        <w:r>
          <w:rPr>
            <w:noProof/>
            <w:webHidden/>
          </w:rPr>
          <w:fldChar w:fldCharType="separate"/>
        </w:r>
        <w:r>
          <w:rPr>
            <w:noProof/>
            <w:webHidden/>
          </w:rPr>
          <w:t>34</w:t>
        </w:r>
        <w:r>
          <w:rPr>
            <w:noProof/>
            <w:webHidden/>
          </w:rPr>
          <w:fldChar w:fldCharType="end"/>
        </w:r>
      </w:hyperlink>
    </w:p>
    <w:p w14:paraId="19F0D8F6" w14:textId="272E47DA" w:rsidR="00306FB6" w:rsidRDefault="00306FB6">
      <w:pPr>
        <w:pStyle w:val="TOC3"/>
        <w:tabs>
          <w:tab w:val="right" w:leader="dot" w:pos="15380"/>
        </w:tabs>
        <w:rPr>
          <w:rFonts w:eastAsiaTheme="minorEastAsia"/>
          <w:noProof/>
          <w:lang w:eastAsia="hr-HR"/>
        </w:rPr>
      </w:pPr>
      <w:hyperlink w:anchor="_Toc183591324" w:history="1">
        <w:r w:rsidRPr="009E238B">
          <w:rPr>
            <w:rStyle w:val="Hyperlink"/>
            <w:noProof/>
          </w:rPr>
          <w:t>MJERA 8 - UNAPRJEĐENJE NORMATIVNOG OKVIRA ZA MEDIJE</w:t>
        </w:r>
        <w:r>
          <w:rPr>
            <w:noProof/>
            <w:webHidden/>
          </w:rPr>
          <w:tab/>
        </w:r>
        <w:r>
          <w:rPr>
            <w:noProof/>
            <w:webHidden/>
          </w:rPr>
          <w:fldChar w:fldCharType="begin"/>
        </w:r>
        <w:r>
          <w:rPr>
            <w:noProof/>
            <w:webHidden/>
          </w:rPr>
          <w:instrText xml:space="preserve"> PAGEREF _Toc183591324 \h </w:instrText>
        </w:r>
        <w:r>
          <w:rPr>
            <w:noProof/>
            <w:webHidden/>
          </w:rPr>
        </w:r>
        <w:r>
          <w:rPr>
            <w:noProof/>
            <w:webHidden/>
          </w:rPr>
          <w:fldChar w:fldCharType="separate"/>
        </w:r>
        <w:r>
          <w:rPr>
            <w:noProof/>
            <w:webHidden/>
          </w:rPr>
          <w:t>35</w:t>
        </w:r>
        <w:r>
          <w:rPr>
            <w:noProof/>
            <w:webHidden/>
          </w:rPr>
          <w:fldChar w:fldCharType="end"/>
        </w:r>
      </w:hyperlink>
    </w:p>
    <w:p w14:paraId="47C0246B" w14:textId="6687E752" w:rsidR="00306FB6" w:rsidRDefault="00306FB6">
      <w:pPr>
        <w:pStyle w:val="TOC3"/>
        <w:tabs>
          <w:tab w:val="right" w:leader="dot" w:pos="15380"/>
        </w:tabs>
        <w:rPr>
          <w:rFonts w:eastAsiaTheme="minorEastAsia"/>
          <w:noProof/>
          <w:lang w:eastAsia="hr-HR"/>
        </w:rPr>
      </w:pPr>
      <w:hyperlink w:anchor="_Toc183591325" w:history="1">
        <w:r w:rsidRPr="009E238B">
          <w:rPr>
            <w:rStyle w:val="Hyperlink"/>
            <w:noProof/>
          </w:rPr>
          <w:t xml:space="preserve">MJERA 9 - </w:t>
        </w:r>
        <w:r w:rsidRPr="009E238B">
          <w:rPr>
            <w:rStyle w:val="Hyperlink"/>
            <w:noProof/>
            <w:lang w:eastAsia="hr-HR"/>
          </w:rPr>
          <w:t>UNAPRJEĐENJE SREDIŠNJEG KATALOGA SLUŽBENIH DOKUMENATA</w:t>
        </w:r>
        <w:r>
          <w:rPr>
            <w:noProof/>
            <w:webHidden/>
          </w:rPr>
          <w:tab/>
        </w:r>
        <w:r>
          <w:rPr>
            <w:noProof/>
            <w:webHidden/>
          </w:rPr>
          <w:fldChar w:fldCharType="begin"/>
        </w:r>
        <w:r>
          <w:rPr>
            <w:noProof/>
            <w:webHidden/>
          </w:rPr>
          <w:instrText xml:space="preserve"> PAGEREF _Toc183591325 \h </w:instrText>
        </w:r>
        <w:r>
          <w:rPr>
            <w:noProof/>
            <w:webHidden/>
          </w:rPr>
        </w:r>
        <w:r>
          <w:rPr>
            <w:noProof/>
            <w:webHidden/>
          </w:rPr>
          <w:fldChar w:fldCharType="separate"/>
        </w:r>
        <w:r>
          <w:rPr>
            <w:noProof/>
            <w:webHidden/>
          </w:rPr>
          <w:t>38</w:t>
        </w:r>
        <w:r>
          <w:rPr>
            <w:noProof/>
            <w:webHidden/>
          </w:rPr>
          <w:fldChar w:fldCharType="end"/>
        </w:r>
      </w:hyperlink>
    </w:p>
    <w:p w14:paraId="3141E88D" w14:textId="3E523D38" w:rsidR="00306FB6" w:rsidRDefault="00306FB6">
      <w:pPr>
        <w:pStyle w:val="TOC3"/>
        <w:tabs>
          <w:tab w:val="right" w:leader="dot" w:pos="15380"/>
        </w:tabs>
        <w:rPr>
          <w:rFonts w:eastAsiaTheme="minorEastAsia"/>
          <w:noProof/>
          <w:lang w:eastAsia="hr-HR"/>
        </w:rPr>
      </w:pPr>
      <w:hyperlink w:anchor="_Toc183591326" w:history="1">
        <w:r w:rsidRPr="009E238B">
          <w:rPr>
            <w:rStyle w:val="Hyperlink"/>
            <w:noProof/>
          </w:rPr>
          <w:t xml:space="preserve">MJERA 10 - </w:t>
        </w:r>
        <w:r w:rsidRPr="009E238B">
          <w:rPr>
            <w:rStyle w:val="Hyperlink"/>
            <w:noProof/>
            <w:lang w:eastAsia="hr-HR"/>
          </w:rPr>
          <w:t>UNAPRJEĐENJE SREDIŠNJEG REGISTRA DRŽAVNE IMOVINE</w:t>
        </w:r>
        <w:r>
          <w:rPr>
            <w:noProof/>
            <w:webHidden/>
          </w:rPr>
          <w:tab/>
        </w:r>
        <w:r>
          <w:rPr>
            <w:noProof/>
            <w:webHidden/>
          </w:rPr>
          <w:fldChar w:fldCharType="begin"/>
        </w:r>
        <w:r>
          <w:rPr>
            <w:noProof/>
            <w:webHidden/>
          </w:rPr>
          <w:instrText xml:space="preserve"> PAGEREF _Toc183591326 \h </w:instrText>
        </w:r>
        <w:r>
          <w:rPr>
            <w:noProof/>
            <w:webHidden/>
          </w:rPr>
        </w:r>
        <w:r>
          <w:rPr>
            <w:noProof/>
            <w:webHidden/>
          </w:rPr>
          <w:fldChar w:fldCharType="separate"/>
        </w:r>
        <w:r>
          <w:rPr>
            <w:noProof/>
            <w:webHidden/>
          </w:rPr>
          <w:t>41</w:t>
        </w:r>
        <w:r>
          <w:rPr>
            <w:noProof/>
            <w:webHidden/>
          </w:rPr>
          <w:fldChar w:fldCharType="end"/>
        </w:r>
      </w:hyperlink>
    </w:p>
    <w:p w14:paraId="48832E3B" w14:textId="6740134F" w:rsidR="00306FB6" w:rsidRDefault="00306FB6">
      <w:pPr>
        <w:pStyle w:val="TOC2"/>
        <w:tabs>
          <w:tab w:val="right" w:leader="dot" w:pos="15380"/>
        </w:tabs>
        <w:rPr>
          <w:rFonts w:eastAsiaTheme="minorEastAsia"/>
          <w:noProof/>
          <w:lang w:eastAsia="hr-HR"/>
        </w:rPr>
      </w:pPr>
      <w:hyperlink w:anchor="_Toc183591327" w:history="1">
        <w:r w:rsidRPr="009E238B">
          <w:rPr>
            <w:rStyle w:val="Hyperlink"/>
            <w:b/>
            <w:noProof/>
          </w:rPr>
          <w:t>B – BORBA PROTIV KORUPCIJE</w:t>
        </w:r>
        <w:r>
          <w:rPr>
            <w:noProof/>
            <w:webHidden/>
          </w:rPr>
          <w:tab/>
        </w:r>
        <w:r>
          <w:rPr>
            <w:noProof/>
            <w:webHidden/>
          </w:rPr>
          <w:fldChar w:fldCharType="begin"/>
        </w:r>
        <w:r>
          <w:rPr>
            <w:noProof/>
            <w:webHidden/>
          </w:rPr>
          <w:instrText xml:space="preserve"> PAGEREF _Toc183591327 \h </w:instrText>
        </w:r>
        <w:r>
          <w:rPr>
            <w:noProof/>
            <w:webHidden/>
          </w:rPr>
        </w:r>
        <w:r>
          <w:rPr>
            <w:noProof/>
            <w:webHidden/>
          </w:rPr>
          <w:fldChar w:fldCharType="separate"/>
        </w:r>
        <w:r>
          <w:rPr>
            <w:noProof/>
            <w:webHidden/>
          </w:rPr>
          <w:t>42</w:t>
        </w:r>
        <w:r>
          <w:rPr>
            <w:noProof/>
            <w:webHidden/>
          </w:rPr>
          <w:fldChar w:fldCharType="end"/>
        </w:r>
      </w:hyperlink>
    </w:p>
    <w:p w14:paraId="6B91726F" w14:textId="011D7D66" w:rsidR="00306FB6" w:rsidRDefault="00306FB6">
      <w:pPr>
        <w:pStyle w:val="TOC3"/>
        <w:tabs>
          <w:tab w:val="right" w:leader="dot" w:pos="15380"/>
        </w:tabs>
        <w:rPr>
          <w:rFonts w:eastAsiaTheme="minorEastAsia"/>
          <w:noProof/>
          <w:lang w:eastAsia="hr-HR"/>
        </w:rPr>
      </w:pPr>
      <w:hyperlink w:anchor="_Toc183591328" w:history="1">
        <w:r w:rsidRPr="009E238B">
          <w:rPr>
            <w:rStyle w:val="Hyperlink"/>
            <w:noProof/>
          </w:rPr>
          <w:t>MJERA 11 - ZAŠTITA PRIJAVITELJA NEPRAVILNOSTI</w:t>
        </w:r>
        <w:r>
          <w:rPr>
            <w:noProof/>
            <w:webHidden/>
          </w:rPr>
          <w:tab/>
        </w:r>
        <w:r>
          <w:rPr>
            <w:noProof/>
            <w:webHidden/>
          </w:rPr>
          <w:fldChar w:fldCharType="begin"/>
        </w:r>
        <w:r>
          <w:rPr>
            <w:noProof/>
            <w:webHidden/>
          </w:rPr>
          <w:instrText xml:space="preserve"> PAGEREF _Toc183591328 \h </w:instrText>
        </w:r>
        <w:r>
          <w:rPr>
            <w:noProof/>
            <w:webHidden/>
          </w:rPr>
        </w:r>
        <w:r>
          <w:rPr>
            <w:noProof/>
            <w:webHidden/>
          </w:rPr>
          <w:fldChar w:fldCharType="separate"/>
        </w:r>
        <w:r>
          <w:rPr>
            <w:noProof/>
            <w:webHidden/>
          </w:rPr>
          <w:t>42</w:t>
        </w:r>
        <w:r>
          <w:rPr>
            <w:noProof/>
            <w:webHidden/>
          </w:rPr>
          <w:fldChar w:fldCharType="end"/>
        </w:r>
      </w:hyperlink>
    </w:p>
    <w:p w14:paraId="45E006D5" w14:textId="167093BB" w:rsidR="00306FB6" w:rsidRDefault="00306FB6">
      <w:pPr>
        <w:pStyle w:val="TOC3"/>
        <w:tabs>
          <w:tab w:val="right" w:leader="dot" w:pos="15380"/>
        </w:tabs>
        <w:rPr>
          <w:rFonts w:eastAsiaTheme="minorEastAsia"/>
          <w:noProof/>
          <w:lang w:eastAsia="hr-HR"/>
        </w:rPr>
      </w:pPr>
      <w:hyperlink w:anchor="_Toc183591329" w:history="1">
        <w:r w:rsidRPr="009E238B">
          <w:rPr>
            <w:rStyle w:val="Hyperlink"/>
            <w:noProof/>
          </w:rPr>
          <w:t xml:space="preserve">MJERA 12 - UNAPRJEĐENJE NORMATIVNOG OKVIRA ZA </w:t>
        </w:r>
        <w:r w:rsidRPr="009E238B">
          <w:rPr>
            <w:rStyle w:val="Hyperlink"/>
            <w:iCs/>
            <w:noProof/>
          </w:rPr>
          <w:t>SPRJEČAVANJE KORUPCIJE</w:t>
        </w:r>
        <w:r>
          <w:rPr>
            <w:noProof/>
            <w:webHidden/>
          </w:rPr>
          <w:tab/>
        </w:r>
        <w:r>
          <w:rPr>
            <w:noProof/>
            <w:webHidden/>
          </w:rPr>
          <w:fldChar w:fldCharType="begin"/>
        </w:r>
        <w:r>
          <w:rPr>
            <w:noProof/>
            <w:webHidden/>
          </w:rPr>
          <w:instrText xml:space="preserve"> PAGEREF _Toc183591329 \h </w:instrText>
        </w:r>
        <w:r>
          <w:rPr>
            <w:noProof/>
            <w:webHidden/>
          </w:rPr>
        </w:r>
        <w:r>
          <w:rPr>
            <w:noProof/>
            <w:webHidden/>
          </w:rPr>
          <w:fldChar w:fldCharType="separate"/>
        </w:r>
        <w:r>
          <w:rPr>
            <w:noProof/>
            <w:webHidden/>
          </w:rPr>
          <w:t>44</w:t>
        </w:r>
        <w:r>
          <w:rPr>
            <w:noProof/>
            <w:webHidden/>
          </w:rPr>
          <w:fldChar w:fldCharType="end"/>
        </w:r>
      </w:hyperlink>
    </w:p>
    <w:p w14:paraId="3E72F29E" w14:textId="7BF7A3F0" w:rsidR="00306FB6" w:rsidRDefault="00306FB6">
      <w:pPr>
        <w:pStyle w:val="TOC2"/>
        <w:tabs>
          <w:tab w:val="right" w:leader="dot" w:pos="15380"/>
        </w:tabs>
        <w:rPr>
          <w:rFonts w:eastAsiaTheme="minorEastAsia"/>
          <w:noProof/>
          <w:lang w:eastAsia="hr-HR"/>
        </w:rPr>
      </w:pPr>
      <w:hyperlink w:anchor="_Toc183591330" w:history="1">
        <w:r w:rsidRPr="009E238B">
          <w:rPr>
            <w:rStyle w:val="Hyperlink"/>
            <w:b/>
            <w:noProof/>
          </w:rPr>
          <w:t>C – OTVORENOST</w:t>
        </w:r>
        <w:r>
          <w:rPr>
            <w:noProof/>
            <w:webHidden/>
          </w:rPr>
          <w:tab/>
        </w:r>
        <w:r>
          <w:rPr>
            <w:noProof/>
            <w:webHidden/>
          </w:rPr>
          <w:fldChar w:fldCharType="begin"/>
        </w:r>
        <w:r>
          <w:rPr>
            <w:noProof/>
            <w:webHidden/>
          </w:rPr>
          <w:instrText xml:space="preserve"> PAGEREF _Toc183591330 \h </w:instrText>
        </w:r>
        <w:r>
          <w:rPr>
            <w:noProof/>
            <w:webHidden/>
          </w:rPr>
        </w:r>
        <w:r>
          <w:rPr>
            <w:noProof/>
            <w:webHidden/>
          </w:rPr>
          <w:fldChar w:fldCharType="separate"/>
        </w:r>
        <w:r>
          <w:rPr>
            <w:noProof/>
            <w:webHidden/>
          </w:rPr>
          <w:t>46</w:t>
        </w:r>
        <w:r>
          <w:rPr>
            <w:noProof/>
            <w:webHidden/>
          </w:rPr>
          <w:fldChar w:fldCharType="end"/>
        </w:r>
      </w:hyperlink>
    </w:p>
    <w:p w14:paraId="5AD27E0D" w14:textId="06195447" w:rsidR="00306FB6" w:rsidRDefault="00306FB6">
      <w:pPr>
        <w:pStyle w:val="TOC3"/>
        <w:tabs>
          <w:tab w:val="right" w:leader="dot" w:pos="15380"/>
        </w:tabs>
        <w:rPr>
          <w:rFonts w:eastAsiaTheme="minorEastAsia"/>
          <w:noProof/>
          <w:lang w:eastAsia="hr-HR"/>
        </w:rPr>
      </w:pPr>
      <w:hyperlink w:anchor="_Toc183591331" w:history="1">
        <w:r w:rsidRPr="009E238B">
          <w:rPr>
            <w:rStyle w:val="Hyperlink"/>
            <w:noProof/>
          </w:rPr>
          <w:t>MJERA 13 - KONTINUIRANO OTVARANJE PODATAKA</w:t>
        </w:r>
        <w:r>
          <w:rPr>
            <w:noProof/>
            <w:webHidden/>
          </w:rPr>
          <w:tab/>
        </w:r>
        <w:r>
          <w:rPr>
            <w:noProof/>
            <w:webHidden/>
          </w:rPr>
          <w:fldChar w:fldCharType="begin"/>
        </w:r>
        <w:r>
          <w:rPr>
            <w:noProof/>
            <w:webHidden/>
          </w:rPr>
          <w:instrText xml:space="preserve"> PAGEREF _Toc183591331 \h </w:instrText>
        </w:r>
        <w:r>
          <w:rPr>
            <w:noProof/>
            <w:webHidden/>
          </w:rPr>
        </w:r>
        <w:r>
          <w:rPr>
            <w:noProof/>
            <w:webHidden/>
          </w:rPr>
          <w:fldChar w:fldCharType="separate"/>
        </w:r>
        <w:r>
          <w:rPr>
            <w:noProof/>
            <w:webHidden/>
          </w:rPr>
          <w:t>46</w:t>
        </w:r>
        <w:r>
          <w:rPr>
            <w:noProof/>
            <w:webHidden/>
          </w:rPr>
          <w:fldChar w:fldCharType="end"/>
        </w:r>
      </w:hyperlink>
    </w:p>
    <w:p w14:paraId="583A8CB7" w14:textId="373B3A2B" w:rsidR="00306FB6" w:rsidRDefault="00306FB6">
      <w:pPr>
        <w:pStyle w:val="TOC2"/>
        <w:tabs>
          <w:tab w:val="right" w:leader="dot" w:pos="15380"/>
        </w:tabs>
        <w:rPr>
          <w:rFonts w:eastAsiaTheme="minorEastAsia"/>
          <w:noProof/>
          <w:lang w:eastAsia="hr-HR"/>
        </w:rPr>
      </w:pPr>
      <w:hyperlink w:anchor="_Toc183591332" w:history="1">
        <w:r w:rsidRPr="009E238B">
          <w:rPr>
            <w:rStyle w:val="Hyperlink"/>
            <w:b/>
            <w:noProof/>
          </w:rPr>
          <w:t>D - SUDJELOVANJE GRAĐANA / CIVILNOG DRUŠTVA U PROCESIMA IZRADE, PROVEDBE I PRAĆENJA JAVNIH POLITIKA</w:t>
        </w:r>
        <w:r>
          <w:rPr>
            <w:noProof/>
            <w:webHidden/>
          </w:rPr>
          <w:tab/>
        </w:r>
        <w:r>
          <w:rPr>
            <w:noProof/>
            <w:webHidden/>
          </w:rPr>
          <w:fldChar w:fldCharType="begin"/>
        </w:r>
        <w:r>
          <w:rPr>
            <w:noProof/>
            <w:webHidden/>
          </w:rPr>
          <w:instrText xml:space="preserve"> PAGEREF _Toc183591332 \h </w:instrText>
        </w:r>
        <w:r>
          <w:rPr>
            <w:noProof/>
            <w:webHidden/>
          </w:rPr>
        </w:r>
        <w:r>
          <w:rPr>
            <w:noProof/>
            <w:webHidden/>
          </w:rPr>
          <w:fldChar w:fldCharType="separate"/>
        </w:r>
        <w:r>
          <w:rPr>
            <w:noProof/>
            <w:webHidden/>
          </w:rPr>
          <w:t>48</w:t>
        </w:r>
        <w:r>
          <w:rPr>
            <w:noProof/>
            <w:webHidden/>
          </w:rPr>
          <w:fldChar w:fldCharType="end"/>
        </w:r>
      </w:hyperlink>
    </w:p>
    <w:p w14:paraId="59353A12" w14:textId="5A14CBB7" w:rsidR="00306FB6" w:rsidRDefault="00306FB6">
      <w:pPr>
        <w:pStyle w:val="TOC3"/>
        <w:tabs>
          <w:tab w:val="right" w:leader="dot" w:pos="15380"/>
        </w:tabs>
        <w:rPr>
          <w:rFonts w:eastAsiaTheme="minorEastAsia"/>
          <w:noProof/>
          <w:lang w:eastAsia="hr-HR"/>
        </w:rPr>
      </w:pPr>
      <w:hyperlink w:anchor="_Toc183591333" w:history="1">
        <w:r w:rsidRPr="009E238B">
          <w:rPr>
            <w:rStyle w:val="Hyperlink"/>
            <w:noProof/>
          </w:rPr>
          <w:t>MJERA 14 - DODATNO UNAPRJEĐENJE PROVEDBE SAVJETOVANJA S JAVNOŠĆU</w:t>
        </w:r>
        <w:r>
          <w:rPr>
            <w:noProof/>
            <w:webHidden/>
          </w:rPr>
          <w:tab/>
        </w:r>
        <w:r>
          <w:rPr>
            <w:noProof/>
            <w:webHidden/>
          </w:rPr>
          <w:fldChar w:fldCharType="begin"/>
        </w:r>
        <w:r>
          <w:rPr>
            <w:noProof/>
            <w:webHidden/>
          </w:rPr>
          <w:instrText xml:space="preserve"> PAGEREF _Toc183591333 \h </w:instrText>
        </w:r>
        <w:r>
          <w:rPr>
            <w:noProof/>
            <w:webHidden/>
          </w:rPr>
        </w:r>
        <w:r>
          <w:rPr>
            <w:noProof/>
            <w:webHidden/>
          </w:rPr>
          <w:fldChar w:fldCharType="separate"/>
        </w:r>
        <w:r>
          <w:rPr>
            <w:noProof/>
            <w:webHidden/>
          </w:rPr>
          <w:t>48</w:t>
        </w:r>
        <w:r>
          <w:rPr>
            <w:noProof/>
            <w:webHidden/>
          </w:rPr>
          <w:fldChar w:fldCharType="end"/>
        </w:r>
      </w:hyperlink>
    </w:p>
    <w:p w14:paraId="6A01AC76" w14:textId="6FA8A66D" w:rsidR="00306FB6" w:rsidRDefault="00306FB6">
      <w:pPr>
        <w:pStyle w:val="TOC2"/>
        <w:tabs>
          <w:tab w:val="right" w:leader="dot" w:pos="15380"/>
        </w:tabs>
        <w:rPr>
          <w:rFonts w:eastAsiaTheme="minorEastAsia"/>
          <w:noProof/>
          <w:lang w:eastAsia="hr-HR"/>
        </w:rPr>
      </w:pPr>
      <w:hyperlink w:anchor="_Toc183591334" w:history="1">
        <w:r w:rsidRPr="009E238B">
          <w:rPr>
            <w:rStyle w:val="Hyperlink"/>
            <w:b/>
            <w:noProof/>
          </w:rPr>
          <w:t>E - PARTNERSTVO ZA OTVORENU VLAST NA LOKALNOJ I PODRUČNOJ (REGIONALNOJ) RAZINI</w:t>
        </w:r>
        <w:r>
          <w:rPr>
            <w:noProof/>
            <w:webHidden/>
          </w:rPr>
          <w:tab/>
        </w:r>
        <w:r>
          <w:rPr>
            <w:noProof/>
            <w:webHidden/>
          </w:rPr>
          <w:fldChar w:fldCharType="begin"/>
        </w:r>
        <w:r>
          <w:rPr>
            <w:noProof/>
            <w:webHidden/>
          </w:rPr>
          <w:instrText xml:space="preserve"> PAGEREF _Toc183591334 \h </w:instrText>
        </w:r>
        <w:r>
          <w:rPr>
            <w:noProof/>
            <w:webHidden/>
          </w:rPr>
        </w:r>
        <w:r>
          <w:rPr>
            <w:noProof/>
            <w:webHidden/>
          </w:rPr>
          <w:fldChar w:fldCharType="separate"/>
        </w:r>
        <w:r>
          <w:rPr>
            <w:noProof/>
            <w:webHidden/>
          </w:rPr>
          <w:t>53</w:t>
        </w:r>
        <w:r>
          <w:rPr>
            <w:noProof/>
            <w:webHidden/>
          </w:rPr>
          <w:fldChar w:fldCharType="end"/>
        </w:r>
      </w:hyperlink>
    </w:p>
    <w:p w14:paraId="5D422898" w14:textId="31AEA4CB" w:rsidR="00306FB6" w:rsidRDefault="00306FB6">
      <w:pPr>
        <w:pStyle w:val="TOC3"/>
        <w:tabs>
          <w:tab w:val="right" w:leader="dot" w:pos="15380"/>
        </w:tabs>
        <w:rPr>
          <w:rFonts w:eastAsiaTheme="minorEastAsia"/>
          <w:noProof/>
          <w:lang w:eastAsia="hr-HR"/>
        </w:rPr>
      </w:pPr>
      <w:hyperlink w:anchor="_Toc183591335" w:history="1">
        <w:r w:rsidRPr="009E238B">
          <w:rPr>
            <w:rStyle w:val="Hyperlink"/>
            <w:noProof/>
          </w:rPr>
          <w:t>MJERA 15 - POTICANJE PROVEDBE INICIJATIVE PARTNERSTVO ZA OTVORENU VLAST NA LOKALNIM RAZINAMA</w:t>
        </w:r>
        <w:r>
          <w:rPr>
            <w:noProof/>
            <w:webHidden/>
          </w:rPr>
          <w:tab/>
        </w:r>
        <w:r>
          <w:rPr>
            <w:noProof/>
            <w:webHidden/>
          </w:rPr>
          <w:fldChar w:fldCharType="begin"/>
        </w:r>
        <w:r>
          <w:rPr>
            <w:noProof/>
            <w:webHidden/>
          </w:rPr>
          <w:instrText xml:space="preserve"> PAGEREF _Toc183591335 \h </w:instrText>
        </w:r>
        <w:r>
          <w:rPr>
            <w:noProof/>
            <w:webHidden/>
          </w:rPr>
        </w:r>
        <w:r>
          <w:rPr>
            <w:noProof/>
            <w:webHidden/>
          </w:rPr>
          <w:fldChar w:fldCharType="separate"/>
        </w:r>
        <w:r>
          <w:rPr>
            <w:noProof/>
            <w:webHidden/>
          </w:rPr>
          <w:t>53</w:t>
        </w:r>
        <w:r>
          <w:rPr>
            <w:noProof/>
            <w:webHidden/>
          </w:rPr>
          <w:fldChar w:fldCharType="end"/>
        </w:r>
      </w:hyperlink>
    </w:p>
    <w:p w14:paraId="4E1C477A" w14:textId="63EDFDA6" w:rsidR="00306FB6" w:rsidRDefault="00306FB6">
      <w:pPr>
        <w:pStyle w:val="TOC2"/>
        <w:tabs>
          <w:tab w:val="right" w:leader="dot" w:pos="15380"/>
        </w:tabs>
        <w:rPr>
          <w:rFonts w:eastAsiaTheme="minorEastAsia"/>
          <w:noProof/>
          <w:lang w:eastAsia="hr-HR"/>
        </w:rPr>
      </w:pPr>
      <w:hyperlink w:anchor="_Toc183591336" w:history="1">
        <w:r w:rsidRPr="009E238B">
          <w:rPr>
            <w:rStyle w:val="Hyperlink"/>
            <w:b/>
            <w:noProof/>
          </w:rPr>
          <w:t>F - ODRŽIVOST INICIJATIVE PARTNERSTVO ZA OTVORENU VLAST</w:t>
        </w:r>
        <w:r>
          <w:rPr>
            <w:noProof/>
            <w:webHidden/>
          </w:rPr>
          <w:tab/>
        </w:r>
        <w:r>
          <w:rPr>
            <w:noProof/>
            <w:webHidden/>
          </w:rPr>
          <w:fldChar w:fldCharType="begin"/>
        </w:r>
        <w:r>
          <w:rPr>
            <w:noProof/>
            <w:webHidden/>
          </w:rPr>
          <w:instrText xml:space="preserve"> PAGEREF _Toc183591336 \h </w:instrText>
        </w:r>
        <w:r>
          <w:rPr>
            <w:noProof/>
            <w:webHidden/>
          </w:rPr>
        </w:r>
        <w:r>
          <w:rPr>
            <w:noProof/>
            <w:webHidden/>
          </w:rPr>
          <w:fldChar w:fldCharType="separate"/>
        </w:r>
        <w:r>
          <w:rPr>
            <w:noProof/>
            <w:webHidden/>
          </w:rPr>
          <w:t>56</w:t>
        </w:r>
        <w:r>
          <w:rPr>
            <w:noProof/>
            <w:webHidden/>
          </w:rPr>
          <w:fldChar w:fldCharType="end"/>
        </w:r>
      </w:hyperlink>
    </w:p>
    <w:p w14:paraId="2DEF019E" w14:textId="3CC27515" w:rsidR="00306FB6" w:rsidRDefault="00306FB6">
      <w:pPr>
        <w:pStyle w:val="TOC3"/>
        <w:tabs>
          <w:tab w:val="right" w:leader="dot" w:pos="15380"/>
        </w:tabs>
        <w:rPr>
          <w:rFonts w:eastAsiaTheme="minorEastAsia"/>
          <w:noProof/>
          <w:lang w:eastAsia="hr-HR"/>
        </w:rPr>
      </w:pPr>
      <w:hyperlink w:anchor="_Toc183591337" w:history="1">
        <w:r w:rsidRPr="009E238B">
          <w:rPr>
            <w:rStyle w:val="Hyperlink"/>
            <w:noProof/>
          </w:rPr>
          <w:t>MJERA 16 – OSIGURAVANJE ODRŽIVOSTI VRIJEDNOSTI I SADRŽAJA INICIJATIVE PARTNERSTVO ZA OTVORENU VLAST</w:t>
        </w:r>
        <w:r>
          <w:rPr>
            <w:noProof/>
            <w:webHidden/>
          </w:rPr>
          <w:tab/>
        </w:r>
        <w:r>
          <w:rPr>
            <w:noProof/>
            <w:webHidden/>
          </w:rPr>
          <w:fldChar w:fldCharType="begin"/>
        </w:r>
        <w:r>
          <w:rPr>
            <w:noProof/>
            <w:webHidden/>
          </w:rPr>
          <w:instrText xml:space="preserve"> PAGEREF _Toc183591337 \h </w:instrText>
        </w:r>
        <w:r>
          <w:rPr>
            <w:noProof/>
            <w:webHidden/>
          </w:rPr>
        </w:r>
        <w:r>
          <w:rPr>
            <w:noProof/>
            <w:webHidden/>
          </w:rPr>
          <w:fldChar w:fldCharType="separate"/>
        </w:r>
        <w:r>
          <w:rPr>
            <w:noProof/>
            <w:webHidden/>
          </w:rPr>
          <w:t>56</w:t>
        </w:r>
        <w:r>
          <w:rPr>
            <w:noProof/>
            <w:webHidden/>
          </w:rPr>
          <w:fldChar w:fldCharType="end"/>
        </w:r>
      </w:hyperlink>
    </w:p>
    <w:p w14:paraId="5B44A17D" w14:textId="1304DC75" w:rsidR="00265C09" w:rsidRDefault="00C313C1" w:rsidP="00C313C1">
      <w:pPr>
        <w:pStyle w:val="Heading1"/>
      </w:pPr>
      <w:r>
        <w:fldChar w:fldCharType="end"/>
      </w:r>
    </w:p>
    <w:p w14:paraId="1C60C567" w14:textId="77777777" w:rsidR="00265C09" w:rsidRDefault="00265C09">
      <w:pPr>
        <w:rPr>
          <w:rFonts w:asciiTheme="majorHAnsi" w:eastAsiaTheme="majorEastAsia" w:hAnsiTheme="majorHAnsi" w:cstheme="majorBidi"/>
          <w:color w:val="2E74B5" w:themeColor="accent1" w:themeShade="BF"/>
          <w:sz w:val="32"/>
          <w:szCs w:val="32"/>
        </w:rPr>
      </w:pPr>
      <w:r>
        <w:br w:type="page"/>
      </w:r>
    </w:p>
    <w:p w14:paraId="44F02FA1" w14:textId="17DEC881" w:rsidR="0098008B" w:rsidRPr="0033148D" w:rsidRDefault="0098008B" w:rsidP="00267611">
      <w:pPr>
        <w:pStyle w:val="Heading1"/>
        <w:rPr>
          <w:rFonts w:eastAsia="Times New Roman"/>
          <w:color w:val="000000"/>
          <w:lang w:eastAsia="hr-HR"/>
        </w:rPr>
      </w:pPr>
      <w:bookmarkStart w:id="1" w:name="_Toc183591309"/>
      <w:r w:rsidRPr="0033148D">
        <w:lastRenderedPageBreak/>
        <w:t>KAZALO SKRAĆENICA</w:t>
      </w:r>
      <w:bookmarkEnd w:id="1"/>
    </w:p>
    <w:p w14:paraId="4D601E7C" w14:textId="2117AE00" w:rsidR="0098008B" w:rsidRDefault="0098008B" w:rsidP="00533C38">
      <w:pPr>
        <w:spacing w:line="240" w:lineRule="auto"/>
        <w:ind w:left="1134"/>
        <w:rPr>
          <w:rFonts w:cstheme="minorHAnsi"/>
          <w:sz w:val="24"/>
          <w:szCs w:val="24"/>
        </w:rPr>
      </w:pPr>
    </w:p>
    <w:p w14:paraId="247AF52B" w14:textId="77777777" w:rsidR="0093612B" w:rsidRPr="0033148D" w:rsidRDefault="0093612B" w:rsidP="00533C38">
      <w:pPr>
        <w:spacing w:line="240" w:lineRule="auto"/>
        <w:ind w:left="1134"/>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10720"/>
      </w:tblGrid>
      <w:tr w:rsidR="0098008B" w:rsidRPr="0033148D" w14:paraId="42F6DCD3" w14:textId="77777777" w:rsidTr="00511947">
        <w:tc>
          <w:tcPr>
            <w:tcW w:w="2038" w:type="dxa"/>
          </w:tcPr>
          <w:p w14:paraId="7B7E6392" w14:textId="77777777" w:rsidR="0098008B" w:rsidRPr="00511947" w:rsidRDefault="00534A06" w:rsidP="0093612B">
            <w:pPr>
              <w:spacing w:after="120"/>
              <w:ind w:left="1134"/>
              <w:rPr>
                <w:rFonts w:cstheme="minorHAnsi"/>
                <w:b/>
                <w:sz w:val="24"/>
                <w:szCs w:val="24"/>
              </w:rPr>
            </w:pPr>
            <w:r w:rsidRPr="00511947">
              <w:rPr>
                <w:rFonts w:cstheme="minorHAnsi"/>
                <w:b/>
                <w:sz w:val="24"/>
                <w:szCs w:val="24"/>
              </w:rPr>
              <w:t>ASOC</w:t>
            </w:r>
          </w:p>
        </w:tc>
        <w:tc>
          <w:tcPr>
            <w:tcW w:w="10720" w:type="dxa"/>
          </w:tcPr>
          <w:p w14:paraId="3ABEC0CA" w14:textId="77777777" w:rsidR="0098008B" w:rsidRPr="0033148D" w:rsidRDefault="0026218B" w:rsidP="0093612B">
            <w:pPr>
              <w:spacing w:after="120"/>
              <w:ind w:left="1134" w:right="-694"/>
              <w:rPr>
                <w:rFonts w:cstheme="minorHAnsi"/>
                <w:sz w:val="24"/>
                <w:szCs w:val="24"/>
              </w:rPr>
            </w:pPr>
            <w:r w:rsidRPr="0033148D">
              <w:rPr>
                <w:rFonts w:cstheme="minorHAnsi"/>
                <w:sz w:val="24"/>
                <w:szCs w:val="24"/>
              </w:rPr>
              <w:t xml:space="preserve">Projekt </w:t>
            </w:r>
            <w:r w:rsidR="00534A06" w:rsidRPr="0033148D">
              <w:rPr>
                <w:rFonts w:cstheme="minorHAnsi"/>
                <w:sz w:val="24"/>
                <w:szCs w:val="24"/>
              </w:rPr>
              <w:t xml:space="preserve">„At </w:t>
            </w:r>
            <w:proofErr w:type="spellStart"/>
            <w:r w:rsidR="00534A06" w:rsidRPr="0033148D">
              <w:rPr>
                <w:rFonts w:cstheme="minorHAnsi"/>
                <w:sz w:val="24"/>
                <w:szCs w:val="24"/>
              </w:rPr>
              <w:t>School</w:t>
            </w:r>
            <w:proofErr w:type="spellEnd"/>
            <w:r w:rsidR="00534A06" w:rsidRPr="0033148D">
              <w:rPr>
                <w:rFonts w:cstheme="minorHAnsi"/>
                <w:sz w:val="24"/>
                <w:szCs w:val="24"/>
              </w:rPr>
              <w:t xml:space="preserve"> </w:t>
            </w:r>
            <w:proofErr w:type="spellStart"/>
            <w:r w:rsidR="00534A06" w:rsidRPr="0033148D">
              <w:rPr>
                <w:rFonts w:cstheme="minorHAnsi"/>
                <w:sz w:val="24"/>
                <w:szCs w:val="24"/>
              </w:rPr>
              <w:t>of</w:t>
            </w:r>
            <w:proofErr w:type="spellEnd"/>
            <w:r w:rsidR="00534A06" w:rsidRPr="0033148D">
              <w:rPr>
                <w:rFonts w:cstheme="minorHAnsi"/>
                <w:sz w:val="24"/>
                <w:szCs w:val="24"/>
              </w:rPr>
              <w:t xml:space="preserve"> Open </w:t>
            </w:r>
            <w:proofErr w:type="spellStart"/>
            <w:r w:rsidR="00534A06" w:rsidRPr="0033148D">
              <w:rPr>
                <w:rFonts w:cstheme="minorHAnsi"/>
                <w:sz w:val="24"/>
                <w:szCs w:val="24"/>
              </w:rPr>
              <w:t>Cohesion</w:t>
            </w:r>
            <w:proofErr w:type="spellEnd"/>
            <w:r w:rsidR="00534A06" w:rsidRPr="0033148D">
              <w:rPr>
                <w:rFonts w:cstheme="minorHAnsi"/>
                <w:sz w:val="24"/>
                <w:szCs w:val="24"/>
              </w:rPr>
              <w:t>“ („U školi otvorene kohezije“)</w:t>
            </w:r>
          </w:p>
        </w:tc>
      </w:tr>
      <w:tr w:rsidR="00534A06" w:rsidRPr="0033148D" w14:paraId="41D5193A" w14:textId="77777777" w:rsidTr="00511947">
        <w:tc>
          <w:tcPr>
            <w:tcW w:w="2038" w:type="dxa"/>
          </w:tcPr>
          <w:p w14:paraId="13826385"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d.d.</w:t>
            </w:r>
          </w:p>
        </w:tc>
        <w:tc>
          <w:tcPr>
            <w:tcW w:w="10720" w:type="dxa"/>
          </w:tcPr>
          <w:p w14:paraId="0C30A921" w14:textId="77777777" w:rsidR="00534A06" w:rsidRPr="0033148D" w:rsidRDefault="0026218B" w:rsidP="0093612B">
            <w:pPr>
              <w:spacing w:after="120"/>
              <w:ind w:left="1134" w:right="-694"/>
              <w:rPr>
                <w:rFonts w:cstheme="minorHAnsi"/>
                <w:sz w:val="24"/>
                <w:szCs w:val="24"/>
              </w:rPr>
            </w:pPr>
            <w:r w:rsidRPr="0033148D">
              <w:rPr>
                <w:rFonts w:cstheme="minorHAnsi"/>
                <w:sz w:val="24"/>
                <w:szCs w:val="24"/>
              </w:rPr>
              <w:t>d</w:t>
            </w:r>
            <w:r w:rsidR="00534A06" w:rsidRPr="0033148D">
              <w:rPr>
                <w:rFonts w:cstheme="minorHAnsi"/>
                <w:sz w:val="24"/>
                <w:szCs w:val="24"/>
              </w:rPr>
              <w:t>ioničko društvo</w:t>
            </w:r>
          </w:p>
        </w:tc>
      </w:tr>
      <w:tr w:rsidR="00534A06" w:rsidRPr="0033148D" w14:paraId="4D521FDE" w14:textId="77777777" w:rsidTr="00511947">
        <w:tc>
          <w:tcPr>
            <w:tcW w:w="2038" w:type="dxa"/>
          </w:tcPr>
          <w:p w14:paraId="27358F6D"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d.o.o.</w:t>
            </w:r>
          </w:p>
        </w:tc>
        <w:tc>
          <w:tcPr>
            <w:tcW w:w="10720" w:type="dxa"/>
          </w:tcPr>
          <w:p w14:paraId="4CCC1BC5" w14:textId="77777777" w:rsidR="00534A06" w:rsidRPr="0033148D" w:rsidRDefault="0026218B" w:rsidP="0093612B">
            <w:pPr>
              <w:spacing w:after="120"/>
              <w:ind w:left="1134" w:right="-694"/>
              <w:rPr>
                <w:rFonts w:cstheme="minorHAnsi"/>
                <w:sz w:val="24"/>
                <w:szCs w:val="24"/>
              </w:rPr>
            </w:pPr>
            <w:r w:rsidRPr="0033148D">
              <w:rPr>
                <w:rFonts w:cstheme="minorHAnsi"/>
                <w:sz w:val="24"/>
                <w:szCs w:val="24"/>
              </w:rPr>
              <w:t>d</w:t>
            </w:r>
            <w:r w:rsidR="00534A06" w:rsidRPr="0033148D">
              <w:rPr>
                <w:rFonts w:cstheme="minorHAnsi"/>
                <w:sz w:val="24"/>
                <w:szCs w:val="24"/>
              </w:rPr>
              <w:t>ruštvo s ograničenom odgovornošću</w:t>
            </w:r>
          </w:p>
        </w:tc>
      </w:tr>
      <w:tr w:rsidR="00534A06" w:rsidRPr="0033148D" w14:paraId="2CEC9C4C" w14:textId="77777777" w:rsidTr="00511947">
        <w:tc>
          <w:tcPr>
            <w:tcW w:w="2038" w:type="dxa"/>
          </w:tcPr>
          <w:p w14:paraId="629D768A"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DŠJU</w:t>
            </w:r>
          </w:p>
        </w:tc>
        <w:tc>
          <w:tcPr>
            <w:tcW w:w="10720" w:type="dxa"/>
          </w:tcPr>
          <w:p w14:paraId="4DD985BE"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Državna škola za javnu upravu</w:t>
            </w:r>
          </w:p>
        </w:tc>
      </w:tr>
      <w:tr w:rsidR="0098008B" w:rsidRPr="0033148D" w14:paraId="34DC7270" w14:textId="77777777" w:rsidTr="00511947">
        <w:tc>
          <w:tcPr>
            <w:tcW w:w="2038" w:type="dxa"/>
          </w:tcPr>
          <w:p w14:paraId="0C34D406" w14:textId="77777777" w:rsidR="0098008B" w:rsidRPr="00511947" w:rsidRDefault="00534A06" w:rsidP="0093612B">
            <w:pPr>
              <w:spacing w:after="120"/>
              <w:ind w:left="1134"/>
              <w:rPr>
                <w:rFonts w:cstheme="minorHAnsi"/>
                <w:b/>
                <w:sz w:val="24"/>
                <w:szCs w:val="24"/>
              </w:rPr>
            </w:pPr>
            <w:r w:rsidRPr="00511947">
              <w:rPr>
                <w:rFonts w:cstheme="minorHAnsi"/>
                <w:b/>
                <w:sz w:val="24"/>
                <w:szCs w:val="24"/>
              </w:rPr>
              <w:t>EDIC</w:t>
            </w:r>
          </w:p>
        </w:tc>
        <w:tc>
          <w:tcPr>
            <w:tcW w:w="10720" w:type="dxa"/>
          </w:tcPr>
          <w:p w14:paraId="61B6976F" w14:textId="77777777" w:rsidR="0098008B" w:rsidRPr="0033148D" w:rsidRDefault="00534A06" w:rsidP="0093612B">
            <w:pPr>
              <w:spacing w:after="120"/>
              <w:ind w:left="1134" w:right="-694"/>
              <w:rPr>
                <w:rFonts w:cstheme="minorHAnsi"/>
                <w:sz w:val="24"/>
                <w:szCs w:val="24"/>
              </w:rPr>
            </w:pPr>
            <w:r w:rsidRPr="0033148D">
              <w:rPr>
                <w:rFonts w:cstheme="minorHAnsi"/>
                <w:sz w:val="24"/>
                <w:szCs w:val="24"/>
              </w:rPr>
              <w:t xml:space="preserve">Europe </w:t>
            </w:r>
            <w:proofErr w:type="spellStart"/>
            <w:r w:rsidRPr="0033148D">
              <w:rPr>
                <w:rFonts w:cstheme="minorHAnsi"/>
                <w:sz w:val="24"/>
                <w:szCs w:val="24"/>
              </w:rPr>
              <w:t>Direct</w:t>
            </w:r>
            <w:proofErr w:type="spellEnd"/>
            <w:r w:rsidRPr="0033148D">
              <w:rPr>
                <w:rFonts w:cstheme="minorHAnsi"/>
                <w:sz w:val="24"/>
                <w:szCs w:val="24"/>
              </w:rPr>
              <w:t xml:space="preserve"> </w:t>
            </w:r>
            <w:proofErr w:type="spellStart"/>
            <w:r w:rsidRPr="0033148D">
              <w:rPr>
                <w:rFonts w:cstheme="minorHAnsi"/>
                <w:sz w:val="24"/>
                <w:szCs w:val="24"/>
              </w:rPr>
              <w:t>Information</w:t>
            </w:r>
            <w:proofErr w:type="spellEnd"/>
            <w:r w:rsidRPr="0033148D">
              <w:rPr>
                <w:rFonts w:cstheme="minorHAnsi"/>
                <w:sz w:val="24"/>
                <w:szCs w:val="24"/>
              </w:rPr>
              <w:t xml:space="preserve"> </w:t>
            </w:r>
            <w:proofErr w:type="spellStart"/>
            <w:r w:rsidRPr="0033148D">
              <w:rPr>
                <w:rFonts w:cstheme="minorHAnsi"/>
                <w:sz w:val="24"/>
                <w:szCs w:val="24"/>
              </w:rPr>
              <w:t>Center</w:t>
            </w:r>
            <w:proofErr w:type="spellEnd"/>
            <w:r w:rsidRPr="0033148D">
              <w:rPr>
                <w:rFonts w:cstheme="minorHAnsi"/>
                <w:sz w:val="24"/>
                <w:szCs w:val="24"/>
              </w:rPr>
              <w:t xml:space="preserve"> (Informacijski centar Europe </w:t>
            </w:r>
            <w:proofErr w:type="spellStart"/>
            <w:r w:rsidRPr="0033148D">
              <w:rPr>
                <w:rFonts w:cstheme="minorHAnsi"/>
                <w:sz w:val="24"/>
                <w:szCs w:val="24"/>
              </w:rPr>
              <w:t>Direct</w:t>
            </w:r>
            <w:proofErr w:type="spellEnd"/>
            <w:r w:rsidRPr="0033148D">
              <w:rPr>
                <w:rFonts w:cstheme="minorHAnsi"/>
                <w:sz w:val="24"/>
                <w:szCs w:val="24"/>
              </w:rPr>
              <w:t>)</w:t>
            </w:r>
          </w:p>
        </w:tc>
      </w:tr>
      <w:tr w:rsidR="007C0382" w:rsidRPr="0033148D" w14:paraId="02B3C93B" w14:textId="77777777" w:rsidTr="00511947">
        <w:tc>
          <w:tcPr>
            <w:tcW w:w="2038" w:type="dxa"/>
          </w:tcPr>
          <w:p w14:paraId="081F08DC" w14:textId="77777777" w:rsidR="007C0382" w:rsidRPr="00511947" w:rsidRDefault="007C0382" w:rsidP="0093612B">
            <w:pPr>
              <w:spacing w:after="120"/>
              <w:ind w:left="1134"/>
              <w:rPr>
                <w:rFonts w:cstheme="minorHAnsi"/>
                <w:b/>
                <w:sz w:val="24"/>
                <w:szCs w:val="24"/>
              </w:rPr>
            </w:pPr>
            <w:r w:rsidRPr="00511947">
              <w:rPr>
                <w:rFonts w:cstheme="minorHAnsi"/>
                <w:b/>
                <w:sz w:val="24"/>
                <w:szCs w:val="24"/>
              </w:rPr>
              <w:t>ESF</w:t>
            </w:r>
          </w:p>
        </w:tc>
        <w:tc>
          <w:tcPr>
            <w:tcW w:w="10720" w:type="dxa"/>
          </w:tcPr>
          <w:p w14:paraId="29A38F0E" w14:textId="77777777" w:rsidR="007C0382" w:rsidRPr="0033148D" w:rsidRDefault="007C0382" w:rsidP="0093612B">
            <w:pPr>
              <w:spacing w:after="120"/>
              <w:ind w:left="1134" w:right="-694"/>
              <w:rPr>
                <w:rFonts w:cstheme="minorHAnsi"/>
                <w:sz w:val="24"/>
                <w:szCs w:val="24"/>
              </w:rPr>
            </w:pPr>
            <w:r w:rsidRPr="0033148D">
              <w:rPr>
                <w:rFonts w:cstheme="minorHAnsi"/>
                <w:sz w:val="24"/>
                <w:szCs w:val="24"/>
              </w:rPr>
              <w:t>Europski socijalni fond</w:t>
            </w:r>
          </w:p>
        </w:tc>
      </w:tr>
      <w:tr w:rsidR="00534A06" w:rsidRPr="0033148D" w14:paraId="1E7CFA93" w14:textId="77777777" w:rsidTr="00511947">
        <w:tc>
          <w:tcPr>
            <w:tcW w:w="2038" w:type="dxa"/>
          </w:tcPr>
          <w:p w14:paraId="463B984D"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EU</w:t>
            </w:r>
          </w:p>
        </w:tc>
        <w:tc>
          <w:tcPr>
            <w:tcW w:w="10720" w:type="dxa"/>
          </w:tcPr>
          <w:p w14:paraId="774EA0D5"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Europska unija</w:t>
            </w:r>
          </w:p>
        </w:tc>
      </w:tr>
      <w:tr w:rsidR="00B43F5D" w:rsidRPr="0033148D" w14:paraId="3ACEBF7C" w14:textId="77777777" w:rsidTr="00511947">
        <w:tc>
          <w:tcPr>
            <w:tcW w:w="2038" w:type="dxa"/>
          </w:tcPr>
          <w:p w14:paraId="3BA5A229" w14:textId="77777777" w:rsidR="00B43F5D" w:rsidRPr="00511947" w:rsidRDefault="00B43F5D" w:rsidP="0093612B">
            <w:pPr>
              <w:spacing w:after="120"/>
              <w:ind w:left="1134"/>
              <w:rPr>
                <w:rFonts w:cstheme="minorHAnsi"/>
                <w:b/>
                <w:sz w:val="24"/>
                <w:szCs w:val="24"/>
                <w:highlight w:val="yellow"/>
              </w:rPr>
            </w:pPr>
            <w:r w:rsidRPr="00511947">
              <w:rPr>
                <w:rFonts w:cstheme="minorHAnsi"/>
                <w:b/>
                <w:sz w:val="24"/>
                <w:szCs w:val="24"/>
              </w:rPr>
              <w:t>GFS</w:t>
            </w:r>
          </w:p>
        </w:tc>
        <w:tc>
          <w:tcPr>
            <w:tcW w:w="10720" w:type="dxa"/>
          </w:tcPr>
          <w:p w14:paraId="5C4AC0AE" w14:textId="77777777" w:rsidR="00B43F5D" w:rsidRPr="0033148D" w:rsidRDefault="00534A06" w:rsidP="0093612B">
            <w:pPr>
              <w:spacing w:after="120"/>
              <w:ind w:left="1134" w:right="-694"/>
              <w:rPr>
                <w:rFonts w:cstheme="minorHAnsi"/>
                <w:sz w:val="24"/>
                <w:szCs w:val="24"/>
                <w:highlight w:val="yellow"/>
              </w:rPr>
            </w:pPr>
            <w:proofErr w:type="spellStart"/>
            <w:r w:rsidRPr="0033148D">
              <w:rPr>
                <w:rFonts w:cstheme="minorHAnsi"/>
                <w:sz w:val="24"/>
                <w:szCs w:val="24"/>
              </w:rPr>
              <w:t>Government</w:t>
            </w:r>
            <w:proofErr w:type="spellEnd"/>
            <w:r w:rsidRPr="0033148D">
              <w:rPr>
                <w:rFonts w:cstheme="minorHAnsi"/>
                <w:sz w:val="24"/>
                <w:szCs w:val="24"/>
              </w:rPr>
              <w:t xml:space="preserve"> </w:t>
            </w:r>
            <w:proofErr w:type="spellStart"/>
            <w:r w:rsidRPr="0033148D">
              <w:rPr>
                <w:rFonts w:cstheme="minorHAnsi"/>
                <w:sz w:val="24"/>
                <w:szCs w:val="24"/>
              </w:rPr>
              <w:t>Finance</w:t>
            </w:r>
            <w:proofErr w:type="spellEnd"/>
            <w:r w:rsidRPr="0033148D">
              <w:rPr>
                <w:rFonts w:cstheme="minorHAnsi"/>
                <w:sz w:val="24"/>
                <w:szCs w:val="24"/>
              </w:rPr>
              <w:t xml:space="preserve"> </w:t>
            </w:r>
            <w:proofErr w:type="spellStart"/>
            <w:r w:rsidRPr="0033148D">
              <w:rPr>
                <w:rFonts w:cstheme="minorHAnsi"/>
                <w:sz w:val="24"/>
                <w:szCs w:val="24"/>
              </w:rPr>
              <w:t>Statistics</w:t>
            </w:r>
            <w:proofErr w:type="spellEnd"/>
            <w:r w:rsidRPr="0033148D">
              <w:rPr>
                <w:rFonts w:cstheme="minorHAnsi"/>
                <w:sz w:val="24"/>
                <w:szCs w:val="24"/>
              </w:rPr>
              <w:t xml:space="preserve"> (Metodologija za statistiku državnih financija)</w:t>
            </w:r>
          </w:p>
        </w:tc>
      </w:tr>
      <w:tr w:rsidR="0098008B" w:rsidRPr="0033148D" w14:paraId="5C74D6BC" w14:textId="77777777" w:rsidTr="00511947">
        <w:tc>
          <w:tcPr>
            <w:tcW w:w="2038" w:type="dxa"/>
          </w:tcPr>
          <w:p w14:paraId="2894BD95" w14:textId="77777777" w:rsidR="0098008B" w:rsidRPr="00511947" w:rsidRDefault="0098008B" w:rsidP="0093612B">
            <w:pPr>
              <w:spacing w:after="120"/>
              <w:ind w:left="1134"/>
              <w:rPr>
                <w:rFonts w:cstheme="minorHAnsi"/>
                <w:b/>
                <w:sz w:val="24"/>
                <w:szCs w:val="24"/>
              </w:rPr>
            </w:pPr>
            <w:r w:rsidRPr="00511947">
              <w:rPr>
                <w:rFonts w:cstheme="minorHAnsi"/>
                <w:b/>
                <w:sz w:val="24"/>
                <w:szCs w:val="24"/>
              </w:rPr>
              <w:t>HND</w:t>
            </w:r>
          </w:p>
        </w:tc>
        <w:tc>
          <w:tcPr>
            <w:tcW w:w="10720" w:type="dxa"/>
          </w:tcPr>
          <w:p w14:paraId="6D39C62E" w14:textId="77777777" w:rsidR="0098008B" w:rsidRPr="0033148D" w:rsidRDefault="0098008B" w:rsidP="0093612B">
            <w:pPr>
              <w:spacing w:after="120"/>
              <w:ind w:left="1134" w:right="-694"/>
              <w:rPr>
                <w:rFonts w:cstheme="minorHAnsi"/>
                <w:sz w:val="24"/>
                <w:szCs w:val="24"/>
              </w:rPr>
            </w:pPr>
            <w:r w:rsidRPr="0033148D">
              <w:rPr>
                <w:rFonts w:cstheme="minorHAnsi"/>
                <w:sz w:val="24"/>
                <w:szCs w:val="24"/>
              </w:rPr>
              <w:t xml:space="preserve">Hrvatsko novinarsko društvo </w:t>
            </w:r>
          </w:p>
        </w:tc>
      </w:tr>
      <w:tr w:rsidR="00B43F5D" w:rsidRPr="0033148D" w14:paraId="3CDAF84B" w14:textId="77777777" w:rsidTr="00511947">
        <w:tc>
          <w:tcPr>
            <w:tcW w:w="2038" w:type="dxa"/>
          </w:tcPr>
          <w:p w14:paraId="095EC63D" w14:textId="77777777" w:rsidR="00B43F5D" w:rsidRPr="00511947" w:rsidRDefault="00B43F5D" w:rsidP="0093612B">
            <w:pPr>
              <w:spacing w:after="120"/>
              <w:ind w:left="1134"/>
              <w:rPr>
                <w:rFonts w:cstheme="minorHAnsi"/>
                <w:b/>
                <w:sz w:val="24"/>
                <w:szCs w:val="24"/>
              </w:rPr>
            </w:pPr>
            <w:r w:rsidRPr="00511947">
              <w:rPr>
                <w:rFonts w:cstheme="minorHAnsi"/>
                <w:b/>
                <w:sz w:val="24"/>
                <w:szCs w:val="24"/>
              </w:rPr>
              <w:t>HUP</w:t>
            </w:r>
          </w:p>
        </w:tc>
        <w:tc>
          <w:tcPr>
            <w:tcW w:w="10720" w:type="dxa"/>
          </w:tcPr>
          <w:p w14:paraId="13E7C0C5" w14:textId="77777777" w:rsidR="00B43F5D" w:rsidRPr="0033148D" w:rsidRDefault="00B43F5D" w:rsidP="0093612B">
            <w:pPr>
              <w:spacing w:after="120"/>
              <w:ind w:left="1134" w:right="-694"/>
              <w:rPr>
                <w:rFonts w:cstheme="minorHAnsi"/>
                <w:sz w:val="24"/>
                <w:szCs w:val="24"/>
              </w:rPr>
            </w:pPr>
            <w:r w:rsidRPr="0033148D">
              <w:rPr>
                <w:rFonts w:cstheme="minorHAnsi"/>
                <w:sz w:val="24"/>
                <w:szCs w:val="24"/>
              </w:rPr>
              <w:t>Hrvatska udruga poslodavaca</w:t>
            </w:r>
          </w:p>
        </w:tc>
      </w:tr>
      <w:tr w:rsidR="00B43F5D" w:rsidRPr="0033148D" w14:paraId="3C029C8F" w14:textId="77777777" w:rsidTr="00511947">
        <w:tc>
          <w:tcPr>
            <w:tcW w:w="2038" w:type="dxa"/>
          </w:tcPr>
          <w:p w14:paraId="55E4A423" w14:textId="77777777" w:rsidR="00B43F5D" w:rsidRPr="00511947" w:rsidRDefault="00B43F5D" w:rsidP="0093612B">
            <w:pPr>
              <w:spacing w:after="120"/>
              <w:ind w:left="1134"/>
              <w:rPr>
                <w:rFonts w:cstheme="minorHAnsi"/>
                <w:b/>
                <w:sz w:val="24"/>
                <w:szCs w:val="24"/>
              </w:rPr>
            </w:pPr>
            <w:r w:rsidRPr="00511947">
              <w:rPr>
                <w:rFonts w:cstheme="minorHAnsi"/>
                <w:b/>
                <w:sz w:val="24"/>
                <w:szCs w:val="24"/>
              </w:rPr>
              <w:t>JLP(R)S</w:t>
            </w:r>
          </w:p>
        </w:tc>
        <w:tc>
          <w:tcPr>
            <w:tcW w:w="10720" w:type="dxa"/>
          </w:tcPr>
          <w:p w14:paraId="3F79BADE" w14:textId="77777777" w:rsidR="00B43F5D" w:rsidRPr="0033148D" w:rsidRDefault="00B43F5D" w:rsidP="0093612B">
            <w:pPr>
              <w:spacing w:after="120"/>
              <w:ind w:left="1134" w:right="-694"/>
              <w:rPr>
                <w:rFonts w:cstheme="minorHAnsi"/>
                <w:sz w:val="24"/>
                <w:szCs w:val="24"/>
              </w:rPr>
            </w:pPr>
            <w:r w:rsidRPr="0033148D">
              <w:rPr>
                <w:rFonts w:cstheme="minorHAnsi"/>
                <w:sz w:val="24"/>
                <w:szCs w:val="24"/>
              </w:rPr>
              <w:t>Jedinice lokalne i područne (regionalne) samouprave</w:t>
            </w:r>
          </w:p>
        </w:tc>
      </w:tr>
      <w:tr w:rsidR="00534A06" w:rsidRPr="0033148D" w14:paraId="01D8001C" w14:textId="77777777" w:rsidTr="00511947">
        <w:tc>
          <w:tcPr>
            <w:tcW w:w="2038" w:type="dxa"/>
          </w:tcPr>
          <w:p w14:paraId="4B3CDF7B" w14:textId="77777777" w:rsidR="00534A06" w:rsidRPr="00511947" w:rsidRDefault="00534A06" w:rsidP="0093612B">
            <w:pPr>
              <w:spacing w:after="120"/>
              <w:ind w:left="1134"/>
              <w:rPr>
                <w:rFonts w:cstheme="minorHAnsi"/>
                <w:b/>
                <w:sz w:val="24"/>
                <w:szCs w:val="24"/>
                <w:highlight w:val="yellow"/>
              </w:rPr>
            </w:pPr>
            <w:r w:rsidRPr="00511947">
              <w:rPr>
                <w:rFonts w:cstheme="minorHAnsi"/>
                <w:b/>
                <w:sz w:val="24"/>
                <w:szCs w:val="24"/>
              </w:rPr>
              <w:t>NIAS</w:t>
            </w:r>
          </w:p>
        </w:tc>
        <w:tc>
          <w:tcPr>
            <w:tcW w:w="10720" w:type="dxa"/>
          </w:tcPr>
          <w:p w14:paraId="79566119" w14:textId="77777777" w:rsidR="00534A06" w:rsidRPr="0033148D" w:rsidRDefault="00534A06" w:rsidP="0093612B">
            <w:pPr>
              <w:spacing w:after="120"/>
              <w:ind w:left="1134" w:right="-694"/>
              <w:rPr>
                <w:rFonts w:cstheme="minorHAnsi"/>
                <w:sz w:val="24"/>
                <w:szCs w:val="24"/>
                <w:highlight w:val="yellow"/>
              </w:rPr>
            </w:pPr>
            <w:r w:rsidRPr="0033148D">
              <w:rPr>
                <w:rFonts w:cstheme="minorHAnsi"/>
                <w:sz w:val="24"/>
                <w:szCs w:val="24"/>
              </w:rPr>
              <w:t xml:space="preserve">Nacionalni identifikacijski i </w:t>
            </w:r>
            <w:proofErr w:type="spellStart"/>
            <w:r w:rsidRPr="0033148D">
              <w:rPr>
                <w:rFonts w:cstheme="minorHAnsi"/>
                <w:sz w:val="24"/>
                <w:szCs w:val="24"/>
              </w:rPr>
              <w:t>autentifikacijski</w:t>
            </w:r>
            <w:proofErr w:type="spellEnd"/>
            <w:r w:rsidRPr="0033148D">
              <w:rPr>
                <w:rFonts w:cstheme="minorHAnsi"/>
                <w:sz w:val="24"/>
                <w:szCs w:val="24"/>
              </w:rPr>
              <w:t xml:space="preserve"> sustav</w:t>
            </w:r>
          </w:p>
        </w:tc>
      </w:tr>
      <w:tr w:rsidR="00833FB9" w:rsidRPr="0033148D" w14:paraId="49A66D95" w14:textId="77777777" w:rsidTr="00511947">
        <w:tc>
          <w:tcPr>
            <w:tcW w:w="2038" w:type="dxa"/>
          </w:tcPr>
          <w:p w14:paraId="50919239" w14:textId="0B754867" w:rsidR="00833FB9" w:rsidRPr="00511947" w:rsidRDefault="00833FB9" w:rsidP="0093612B">
            <w:pPr>
              <w:spacing w:after="120"/>
              <w:ind w:left="1134"/>
              <w:rPr>
                <w:rFonts w:cstheme="minorHAnsi"/>
                <w:b/>
                <w:sz w:val="24"/>
                <w:szCs w:val="24"/>
              </w:rPr>
            </w:pPr>
            <w:r>
              <w:rPr>
                <w:rFonts w:cstheme="minorHAnsi"/>
                <w:b/>
                <w:sz w:val="24"/>
                <w:szCs w:val="24"/>
              </w:rPr>
              <w:t>OCD</w:t>
            </w:r>
          </w:p>
        </w:tc>
        <w:tc>
          <w:tcPr>
            <w:tcW w:w="10720" w:type="dxa"/>
          </w:tcPr>
          <w:p w14:paraId="7BA37AAE" w14:textId="15EA1B6B" w:rsidR="00833FB9" w:rsidRPr="0033148D" w:rsidRDefault="00833FB9" w:rsidP="0093612B">
            <w:pPr>
              <w:spacing w:after="120"/>
              <w:ind w:left="1134" w:right="-694"/>
              <w:rPr>
                <w:rFonts w:cstheme="minorHAnsi"/>
                <w:sz w:val="24"/>
                <w:szCs w:val="24"/>
              </w:rPr>
            </w:pPr>
            <w:r>
              <w:rPr>
                <w:rFonts w:cstheme="minorHAnsi"/>
                <w:sz w:val="24"/>
                <w:szCs w:val="24"/>
              </w:rPr>
              <w:t>organizacija civilnog društva</w:t>
            </w:r>
          </w:p>
        </w:tc>
      </w:tr>
      <w:tr w:rsidR="00534A06" w:rsidRPr="0033148D" w14:paraId="1F48D730" w14:textId="77777777" w:rsidTr="00511947">
        <w:tc>
          <w:tcPr>
            <w:tcW w:w="2038" w:type="dxa"/>
          </w:tcPr>
          <w:p w14:paraId="69E0A5D1" w14:textId="77777777" w:rsidR="00534A06" w:rsidRPr="00511947" w:rsidRDefault="00534A06" w:rsidP="0093612B">
            <w:pPr>
              <w:spacing w:after="120"/>
              <w:ind w:left="1134"/>
              <w:rPr>
                <w:rFonts w:cstheme="minorHAnsi"/>
                <w:b/>
                <w:sz w:val="24"/>
                <w:szCs w:val="24"/>
                <w:highlight w:val="yellow"/>
              </w:rPr>
            </w:pPr>
            <w:r w:rsidRPr="00511947">
              <w:rPr>
                <w:rFonts w:cstheme="minorHAnsi"/>
                <w:b/>
                <w:sz w:val="24"/>
                <w:szCs w:val="24"/>
              </w:rPr>
              <w:t>PI</w:t>
            </w:r>
          </w:p>
        </w:tc>
        <w:tc>
          <w:tcPr>
            <w:tcW w:w="10720" w:type="dxa"/>
          </w:tcPr>
          <w:p w14:paraId="6A46200F" w14:textId="77777777" w:rsidR="00534A06" w:rsidRPr="0033148D" w:rsidRDefault="00534A06" w:rsidP="0093612B">
            <w:pPr>
              <w:spacing w:after="120"/>
              <w:ind w:left="1134" w:right="-694"/>
              <w:rPr>
                <w:rFonts w:cstheme="minorHAnsi"/>
                <w:sz w:val="24"/>
                <w:szCs w:val="24"/>
                <w:highlight w:val="yellow"/>
              </w:rPr>
            </w:pPr>
            <w:r w:rsidRPr="0033148D">
              <w:rPr>
                <w:rFonts w:cstheme="minorHAnsi"/>
                <w:sz w:val="24"/>
                <w:szCs w:val="24"/>
              </w:rPr>
              <w:t>Povjerenik za informiranje</w:t>
            </w:r>
          </w:p>
        </w:tc>
      </w:tr>
      <w:tr w:rsidR="00534A06" w:rsidRPr="0033148D" w14:paraId="1749AAF4" w14:textId="77777777" w:rsidTr="00511947">
        <w:tc>
          <w:tcPr>
            <w:tcW w:w="2038" w:type="dxa"/>
          </w:tcPr>
          <w:p w14:paraId="487409F4" w14:textId="77777777" w:rsidR="00534A06" w:rsidRPr="00511947" w:rsidRDefault="00534A06" w:rsidP="0093612B">
            <w:pPr>
              <w:spacing w:after="120"/>
              <w:ind w:left="1134"/>
              <w:rPr>
                <w:rFonts w:cstheme="minorHAnsi"/>
                <w:b/>
                <w:sz w:val="24"/>
                <w:szCs w:val="24"/>
                <w:highlight w:val="yellow"/>
              </w:rPr>
            </w:pPr>
            <w:r w:rsidRPr="00511947">
              <w:rPr>
                <w:rFonts w:cstheme="minorHAnsi"/>
                <w:b/>
                <w:sz w:val="24"/>
                <w:szCs w:val="24"/>
              </w:rPr>
              <w:t>POV</w:t>
            </w:r>
          </w:p>
        </w:tc>
        <w:tc>
          <w:tcPr>
            <w:tcW w:w="10720" w:type="dxa"/>
          </w:tcPr>
          <w:p w14:paraId="26AEB45A" w14:textId="77777777" w:rsidR="00534A06" w:rsidRPr="0033148D" w:rsidRDefault="00534A06" w:rsidP="0093612B">
            <w:pPr>
              <w:spacing w:after="120"/>
              <w:ind w:left="1134" w:right="-694"/>
              <w:rPr>
                <w:rFonts w:cstheme="minorHAnsi"/>
                <w:sz w:val="24"/>
                <w:szCs w:val="24"/>
                <w:highlight w:val="yellow"/>
              </w:rPr>
            </w:pPr>
            <w:r w:rsidRPr="0033148D">
              <w:rPr>
                <w:rFonts w:cstheme="minorHAnsi"/>
                <w:sz w:val="24"/>
                <w:szCs w:val="24"/>
              </w:rPr>
              <w:t>Partnerstvo za otvorenu vlast</w:t>
            </w:r>
          </w:p>
        </w:tc>
      </w:tr>
      <w:tr w:rsidR="00534A06" w:rsidRPr="0033148D" w14:paraId="6142BE1A" w14:textId="77777777" w:rsidTr="00511947">
        <w:tc>
          <w:tcPr>
            <w:tcW w:w="2038" w:type="dxa"/>
          </w:tcPr>
          <w:p w14:paraId="00300658"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RH</w:t>
            </w:r>
          </w:p>
        </w:tc>
        <w:tc>
          <w:tcPr>
            <w:tcW w:w="10720" w:type="dxa"/>
          </w:tcPr>
          <w:p w14:paraId="4D701E2F"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 xml:space="preserve">Republika Hrvatska </w:t>
            </w:r>
          </w:p>
        </w:tc>
      </w:tr>
      <w:tr w:rsidR="00534A06" w:rsidRPr="0033148D" w14:paraId="22B5DA82" w14:textId="77777777" w:rsidTr="00511947">
        <w:tc>
          <w:tcPr>
            <w:tcW w:w="2038" w:type="dxa"/>
          </w:tcPr>
          <w:p w14:paraId="5883C92E"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TDU</w:t>
            </w:r>
          </w:p>
        </w:tc>
        <w:tc>
          <w:tcPr>
            <w:tcW w:w="10720" w:type="dxa"/>
          </w:tcPr>
          <w:p w14:paraId="52C9CC77" w14:textId="77777777" w:rsidR="00534A06" w:rsidRPr="0033148D" w:rsidRDefault="0026218B" w:rsidP="0093612B">
            <w:pPr>
              <w:spacing w:after="120"/>
              <w:ind w:left="1134" w:right="-694"/>
              <w:rPr>
                <w:rFonts w:cstheme="minorHAnsi"/>
                <w:sz w:val="24"/>
                <w:szCs w:val="24"/>
              </w:rPr>
            </w:pPr>
            <w:r w:rsidRPr="0033148D">
              <w:rPr>
                <w:rFonts w:cstheme="minorHAnsi"/>
                <w:sz w:val="24"/>
                <w:szCs w:val="24"/>
              </w:rPr>
              <w:t>t</w:t>
            </w:r>
            <w:r w:rsidR="00534A06" w:rsidRPr="0033148D">
              <w:rPr>
                <w:rFonts w:cstheme="minorHAnsi"/>
                <w:sz w:val="24"/>
                <w:szCs w:val="24"/>
              </w:rPr>
              <w:t>ijelo državne uprave</w:t>
            </w:r>
          </w:p>
        </w:tc>
      </w:tr>
      <w:tr w:rsidR="00534A06" w:rsidRPr="0033148D" w14:paraId="699ECCB8" w14:textId="77777777" w:rsidTr="00511947">
        <w:tc>
          <w:tcPr>
            <w:tcW w:w="2038" w:type="dxa"/>
          </w:tcPr>
          <w:p w14:paraId="358C6892"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UN</w:t>
            </w:r>
          </w:p>
        </w:tc>
        <w:tc>
          <w:tcPr>
            <w:tcW w:w="10720" w:type="dxa"/>
          </w:tcPr>
          <w:p w14:paraId="66947D7B"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Ujedinjeni narodi</w:t>
            </w:r>
          </w:p>
        </w:tc>
      </w:tr>
      <w:tr w:rsidR="00534A06" w:rsidRPr="0033148D" w14:paraId="279F1CD3" w14:textId="77777777" w:rsidTr="00511947">
        <w:tc>
          <w:tcPr>
            <w:tcW w:w="2038" w:type="dxa"/>
          </w:tcPr>
          <w:p w14:paraId="0C20A469"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VRH</w:t>
            </w:r>
          </w:p>
        </w:tc>
        <w:tc>
          <w:tcPr>
            <w:tcW w:w="10720" w:type="dxa"/>
          </w:tcPr>
          <w:p w14:paraId="5B500365"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Vlada Republike Hrvatske</w:t>
            </w:r>
          </w:p>
        </w:tc>
      </w:tr>
      <w:tr w:rsidR="00534A06" w:rsidRPr="0033148D" w14:paraId="7599B665" w14:textId="77777777" w:rsidTr="00511947">
        <w:tc>
          <w:tcPr>
            <w:tcW w:w="2038" w:type="dxa"/>
          </w:tcPr>
          <w:p w14:paraId="1E218A0B" w14:textId="77777777" w:rsidR="00534A06" w:rsidRPr="00511947" w:rsidRDefault="00534A06" w:rsidP="0093612B">
            <w:pPr>
              <w:spacing w:after="120"/>
              <w:ind w:left="1134"/>
              <w:rPr>
                <w:rFonts w:cstheme="minorHAnsi"/>
                <w:b/>
                <w:sz w:val="24"/>
                <w:szCs w:val="24"/>
              </w:rPr>
            </w:pPr>
            <w:r w:rsidRPr="00511947">
              <w:rPr>
                <w:rFonts w:cstheme="minorHAnsi"/>
                <w:b/>
                <w:sz w:val="24"/>
                <w:szCs w:val="24"/>
              </w:rPr>
              <w:t>ZPPI</w:t>
            </w:r>
          </w:p>
        </w:tc>
        <w:tc>
          <w:tcPr>
            <w:tcW w:w="10720" w:type="dxa"/>
          </w:tcPr>
          <w:p w14:paraId="07B9951A" w14:textId="77777777" w:rsidR="00534A06" w:rsidRPr="0033148D" w:rsidRDefault="00534A06" w:rsidP="0093612B">
            <w:pPr>
              <w:spacing w:after="120"/>
              <w:ind w:left="1134" w:right="-694"/>
              <w:rPr>
                <w:rFonts w:cstheme="minorHAnsi"/>
                <w:sz w:val="24"/>
                <w:szCs w:val="24"/>
              </w:rPr>
            </w:pPr>
            <w:r w:rsidRPr="0033148D">
              <w:rPr>
                <w:rFonts w:cstheme="minorHAnsi"/>
                <w:sz w:val="24"/>
                <w:szCs w:val="24"/>
              </w:rPr>
              <w:t>Zakon o pravu na pristup informacijama</w:t>
            </w:r>
          </w:p>
        </w:tc>
      </w:tr>
    </w:tbl>
    <w:p w14:paraId="6DF2638C" w14:textId="77777777" w:rsidR="00AB15A0" w:rsidRPr="0033148D" w:rsidRDefault="00AB15A0" w:rsidP="0033148D">
      <w:pPr>
        <w:spacing w:line="240" w:lineRule="auto"/>
        <w:rPr>
          <w:rFonts w:cstheme="minorHAnsi"/>
          <w:b/>
        </w:rPr>
      </w:pPr>
      <w:r w:rsidRPr="0033148D">
        <w:rPr>
          <w:rFonts w:cstheme="minorHAnsi"/>
          <w:b/>
        </w:rPr>
        <w:br w:type="page"/>
      </w:r>
    </w:p>
    <w:p w14:paraId="06E1EBEC" w14:textId="77777777" w:rsidR="0098008B" w:rsidRPr="0033148D" w:rsidRDefault="0098008B" w:rsidP="0033148D">
      <w:pPr>
        <w:spacing w:line="240" w:lineRule="auto"/>
        <w:rPr>
          <w:rFonts w:cstheme="minorHAnsi"/>
          <w:b/>
        </w:rPr>
      </w:pPr>
    </w:p>
    <w:p w14:paraId="24246C2A" w14:textId="2E1D9659" w:rsidR="0003770C" w:rsidRDefault="0003770C" w:rsidP="00267611">
      <w:pPr>
        <w:pStyle w:val="Heading1"/>
        <w:rPr>
          <w:b/>
        </w:rPr>
      </w:pPr>
      <w:bookmarkStart w:id="2" w:name="_Toc183591310"/>
      <w:r w:rsidRPr="00267611">
        <w:rPr>
          <w:b/>
        </w:rPr>
        <w:t>1. Uvod</w:t>
      </w:r>
      <w:bookmarkEnd w:id="2"/>
      <w:r w:rsidRPr="00267611">
        <w:rPr>
          <w:b/>
        </w:rPr>
        <w:t xml:space="preserve"> </w:t>
      </w:r>
    </w:p>
    <w:p w14:paraId="470F166C" w14:textId="77777777" w:rsidR="00265C09" w:rsidRPr="00980FAA" w:rsidRDefault="00265C09" w:rsidP="00267611">
      <w:pPr>
        <w:spacing w:after="0"/>
      </w:pPr>
    </w:p>
    <w:p w14:paraId="24566046" w14:textId="5AB81F47" w:rsidR="00594C2F" w:rsidRPr="0033148D" w:rsidRDefault="00594C2F" w:rsidP="0033148D">
      <w:pPr>
        <w:spacing w:after="120" w:line="240" w:lineRule="auto"/>
        <w:ind w:firstLine="708"/>
        <w:jc w:val="both"/>
        <w:rPr>
          <w:rFonts w:cstheme="minorHAnsi"/>
          <w:bCs/>
          <w:sz w:val="24"/>
          <w:szCs w:val="24"/>
          <w:highlight w:val="yellow"/>
        </w:rPr>
      </w:pPr>
      <w:r w:rsidRPr="0033148D">
        <w:rPr>
          <w:rFonts w:cstheme="minorHAnsi"/>
          <w:bCs/>
          <w:sz w:val="24"/>
          <w:szCs w:val="24"/>
        </w:rPr>
        <w:t xml:space="preserve">Republika Hrvatska </w:t>
      </w:r>
      <w:r w:rsidR="00317937" w:rsidRPr="0033148D">
        <w:rPr>
          <w:rFonts w:cstheme="minorHAnsi"/>
          <w:bCs/>
          <w:sz w:val="24"/>
          <w:szCs w:val="24"/>
        </w:rPr>
        <w:t>članica je globalne inicijative Partnerstvo za otvorenu vlast</w:t>
      </w:r>
      <w:r w:rsidR="00C300FF">
        <w:rPr>
          <w:rFonts w:cstheme="minorHAnsi"/>
          <w:bCs/>
          <w:sz w:val="24"/>
          <w:szCs w:val="24"/>
        </w:rPr>
        <w:t xml:space="preserve"> (POV)</w:t>
      </w:r>
      <w:r w:rsidR="00317937" w:rsidRPr="0033148D">
        <w:rPr>
          <w:rFonts w:cstheme="minorHAnsi"/>
          <w:bCs/>
          <w:sz w:val="24"/>
          <w:szCs w:val="24"/>
        </w:rPr>
        <w:t xml:space="preserve"> od 2011. godine, čime iskazuje predanost</w:t>
      </w:r>
      <w:r w:rsidRPr="0033148D">
        <w:rPr>
          <w:rFonts w:cstheme="minorHAnsi"/>
          <w:bCs/>
          <w:sz w:val="24"/>
          <w:szCs w:val="24"/>
        </w:rPr>
        <w:t xml:space="preserve"> načel</w:t>
      </w:r>
      <w:r w:rsidR="00317937" w:rsidRPr="0033148D">
        <w:rPr>
          <w:rFonts w:cstheme="minorHAnsi"/>
          <w:bCs/>
          <w:sz w:val="24"/>
          <w:szCs w:val="24"/>
        </w:rPr>
        <w:t>im</w:t>
      </w:r>
      <w:r w:rsidRPr="0033148D">
        <w:rPr>
          <w:rFonts w:cstheme="minorHAnsi"/>
          <w:bCs/>
          <w:sz w:val="24"/>
          <w:szCs w:val="24"/>
        </w:rPr>
        <w:t xml:space="preserve">a transparentnosti, borbe protiv korupcije, osnaživanja građana i korištenja prednosti novih tehnologija kako bi tijela javne vlasti na svim razinama bila učinkovitija i odgovornija, te se stvorili preduvjeti za učinkovitije i inovativnije pružanje javnih usluga, odnosno upravljanje javnim resursima. </w:t>
      </w:r>
    </w:p>
    <w:p w14:paraId="20B82F2E" w14:textId="57F0DE9D" w:rsidR="00B83329" w:rsidRPr="0033148D" w:rsidRDefault="00594C2F" w:rsidP="0033148D">
      <w:pPr>
        <w:spacing w:after="120" w:line="240" w:lineRule="auto"/>
        <w:ind w:firstLine="708"/>
        <w:jc w:val="both"/>
        <w:rPr>
          <w:rFonts w:cstheme="minorHAnsi"/>
          <w:bCs/>
          <w:sz w:val="24"/>
          <w:szCs w:val="24"/>
        </w:rPr>
      </w:pPr>
      <w:r w:rsidRPr="0033148D">
        <w:rPr>
          <w:rFonts w:cstheme="minorHAnsi"/>
          <w:bCs/>
          <w:sz w:val="24"/>
          <w:szCs w:val="24"/>
        </w:rPr>
        <w:t xml:space="preserve">Određeni koraci ka ostvarenju tih ciljeva poduzeti </w:t>
      </w:r>
      <w:r w:rsidR="00A94D9E" w:rsidRPr="0033148D">
        <w:rPr>
          <w:rFonts w:cstheme="minorHAnsi"/>
          <w:bCs/>
          <w:sz w:val="24"/>
          <w:szCs w:val="24"/>
        </w:rPr>
        <w:t xml:space="preserve">su </w:t>
      </w:r>
      <w:r w:rsidRPr="0033148D">
        <w:rPr>
          <w:rFonts w:cstheme="minorHAnsi"/>
          <w:bCs/>
          <w:sz w:val="24"/>
          <w:szCs w:val="24"/>
        </w:rPr>
        <w:t xml:space="preserve">kroz provedbu prethodna </w:t>
      </w:r>
      <w:r w:rsidR="00317937" w:rsidRPr="0033148D">
        <w:rPr>
          <w:rFonts w:cstheme="minorHAnsi"/>
          <w:bCs/>
          <w:sz w:val="24"/>
          <w:szCs w:val="24"/>
        </w:rPr>
        <w:t>tri</w:t>
      </w:r>
      <w:r w:rsidRPr="0033148D">
        <w:rPr>
          <w:rFonts w:cstheme="minorHAnsi"/>
          <w:bCs/>
          <w:sz w:val="24"/>
          <w:szCs w:val="24"/>
        </w:rPr>
        <w:t xml:space="preserve"> akcijska plana za provedbu </w:t>
      </w:r>
      <w:r w:rsidR="00C300FF">
        <w:rPr>
          <w:rFonts w:cstheme="minorHAnsi"/>
          <w:bCs/>
          <w:sz w:val="24"/>
          <w:szCs w:val="24"/>
        </w:rPr>
        <w:t>POV-a</w:t>
      </w:r>
      <w:r w:rsidR="00B83329" w:rsidRPr="0033148D">
        <w:rPr>
          <w:rFonts w:cstheme="minorHAnsi"/>
          <w:bCs/>
          <w:sz w:val="24"/>
          <w:szCs w:val="24"/>
        </w:rPr>
        <w:t xml:space="preserve"> (za razdoblje od 2012. do 2013. godine, za razdoblje od 2014. do 2016. godine te za razdoblje do 2020. godine). Kroz implementaciju akcijskih planova za provedbu </w:t>
      </w:r>
      <w:r w:rsidR="00C300FF">
        <w:rPr>
          <w:rFonts w:cstheme="minorHAnsi"/>
          <w:bCs/>
          <w:sz w:val="24"/>
          <w:szCs w:val="24"/>
        </w:rPr>
        <w:t>POV-a</w:t>
      </w:r>
      <w:r w:rsidR="00B83329" w:rsidRPr="0033148D">
        <w:rPr>
          <w:rFonts w:cstheme="minorHAnsi"/>
          <w:bCs/>
          <w:sz w:val="24"/>
          <w:szCs w:val="24"/>
        </w:rPr>
        <w:t xml:space="preserve"> u Hrvatskoj, Republika Hrvatska provela </w:t>
      </w:r>
      <w:r w:rsidR="00466A2C">
        <w:rPr>
          <w:rFonts w:cstheme="minorHAnsi"/>
          <w:bCs/>
          <w:sz w:val="24"/>
          <w:szCs w:val="24"/>
        </w:rPr>
        <w:t xml:space="preserve">je </w:t>
      </w:r>
      <w:r w:rsidR="00B83329" w:rsidRPr="0033148D">
        <w:rPr>
          <w:rFonts w:cstheme="minorHAnsi"/>
          <w:bCs/>
          <w:sz w:val="24"/>
          <w:szCs w:val="24"/>
        </w:rPr>
        <w:t>nekoliko značajnih reformi</w:t>
      </w:r>
      <w:r w:rsidR="00466A2C">
        <w:rPr>
          <w:rFonts w:cstheme="minorHAnsi"/>
          <w:bCs/>
          <w:sz w:val="24"/>
          <w:szCs w:val="24"/>
        </w:rPr>
        <w:t>,</w:t>
      </w:r>
      <w:r w:rsidR="00B83329" w:rsidRPr="0033148D">
        <w:rPr>
          <w:rFonts w:cstheme="minorHAnsi"/>
          <w:bCs/>
          <w:sz w:val="24"/>
          <w:szCs w:val="24"/>
        </w:rPr>
        <w:t xml:space="preserve"> koje su prepoznate kao izvanredan napredak u otvaranju vlasti prema građanima. Iz tog je razloga globalna zajednica </w:t>
      </w:r>
      <w:r w:rsidR="00C300FF">
        <w:rPr>
          <w:rFonts w:cstheme="minorHAnsi"/>
          <w:bCs/>
          <w:sz w:val="24"/>
          <w:szCs w:val="24"/>
        </w:rPr>
        <w:t>POV-a</w:t>
      </w:r>
      <w:r w:rsidR="00B83329" w:rsidRPr="0033148D">
        <w:rPr>
          <w:rFonts w:cstheme="minorHAnsi"/>
          <w:bCs/>
          <w:sz w:val="24"/>
          <w:szCs w:val="24"/>
        </w:rPr>
        <w:t xml:space="preserve"> izabrala Republiku Hrvatsku u članstvo Upravnog odbora inicijative </w:t>
      </w:r>
      <w:r w:rsidR="00C300FF">
        <w:rPr>
          <w:rFonts w:cstheme="minorHAnsi"/>
          <w:bCs/>
          <w:sz w:val="24"/>
          <w:szCs w:val="24"/>
        </w:rPr>
        <w:t>POV-a</w:t>
      </w:r>
      <w:r w:rsidR="00B83329" w:rsidRPr="0033148D">
        <w:rPr>
          <w:rFonts w:cstheme="minorHAnsi"/>
          <w:bCs/>
          <w:sz w:val="24"/>
          <w:szCs w:val="24"/>
        </w:rPr>
        <w:t xml:space="preserve"> te je Republika Hrvatska kroz svoja dva uzastopna mandata u Upravnom odboru (od 2014. do 2019. godine) imala priliku usmjeravati razvoj i smjer Inicijative, pritom održavajući najviše standarde i osiguravajući dugoročnu održivost Inicijative. Kao članica Upravnog odbora </w:t>
      </w:r>
      <w:r w:rsidR="00466A2C">
        <w:rPr>
          <w:rFonts w:cstheme="minorHAnsi"/>
          <w:bCs/>
          <w:sz w:val="24"/>
          <w:szCs w:val="24"/>
        </w:rPr>
        <w:t>I</w:t>
      </w:r>
      <w:r w:rsidR="00B83329" w:rsidRPr="0033148D">
        <w:rPr>
          <w:rFonts w:cstheme="minorHAnsi"/>
          <w:bCs/>
          <w:sz w:val="24"/>
          <w:szCs w:val="24"/>
        </w:rPr>
        <w:t xml:space="preserve">nicijative Republika Hrvatska aktivno </w:t>
      </w:r>
      <w:r w:rsidR="00466A2C">
        <w:rPr>
          <w:rFonts w:cstheme="minorHAnsi"/>
          <w:bCs/>
          <w:sz w:val="24"/>
          <w:szCs w:val="24"/>
        </w:rPr>
        <w:t xml:space="preserve">je </w:t>
      </w:r>
      <w:r w:rsidR="00B83329" w:rsidRPr="0033148D">
        <w:rPr>
          <w:rFonts w:cstheme="minorHAnsi"/>
          <w:bCs/>
          <w:sz w:val="24"/>
          <w:szCs w:val="24"/>
        </w:rPr>
        <w:t>sudjelovala u radu pododbora Kriteriji i standardi te sudjelovala na sastancima Upravnog odbora - Južna Afrika (</w:t>
      </w:r>
      <w:proofErr w:type="spellStart"/>
      <w:r w:rsidR="00B83329" w:rsidRPr="0033148D">
        <w:rPr>
          <w:rFonts w:cstheme="minorHAnsi"/>
          <w:bCs/>
          <w:sz w:val="24"/>
          <w:szCs w:val="24"/>
        </w:rPr>
        <w:t>Johannesburg</w:t>
      </w:r>
      <w:proofErr w:type="spellEnd"/>
      <w:r w:rsidR="00B83329" w:rsidRPr="0033148D">
        <w:rPr>
          <w:rFonts w:cstheme="minorHAnsi"/>
          <w:bCs/>
          <w:sz w:val="24"/>
          <w:szCs w:val="24"/>
        </w:rPr>
        <w:t xml:space="preserve"> 2015. i Cape Town 2016.), Sjedinjene Američke Države (Washingtonu 201</w:t>
      </w:r>
      <w:r w:rsidR="00C300FF">
        <w:rPr>
          <w:rFonts w:cstheme="minorHAnsi"/>
          <w:bCs/>
          <w:sz w:val="24"/>
          <w:szCs w:val="24"/>
        </w:rPr>
        <w:t>8</w:t>
      </w:r>
      <w:r w:rsidR="00B83329" w:rsidRPr="0033148D">
        <w:rPr>
          <w:rFonts w:cstheme="minorHAnsi"/>
          <w:bCs/>
          <w:sz w:val="24"/>
          <w:szCs w:val="24"/>
        </w:rPr>
        <w:t xml:space="preserve">.) te na sastancima koji su se održavali uz globalne samite inicijative (Ciudad de México 2015., Pariz 2016., Tbilisi 2018., Ottawa 2019. godine, Tallinn 2023. godine), kao i onima koji su održavani svake godine na marginama Opće skupštine UN-a. Osim toga, 2012. godine uspješno </w:t>
      </w:r>
      <w:r w:rsidR="00466A2C">
        <w:rPr>
          <w:rFonts w:cstheme="minorHAnsi"/>
          <w:bCs/>
          <w:sz w:val="24"/>
          <w:szCs w:val="24"/>
        </w:rPr>
        <w:t xml:space="preserve">je </w:t>
      </w:r>
      <w:r w:rsidR="00B83329" w:rsidRPr="0033148D">
        <w:rPr>
          <w:rFonts w:cstheme="minorHAnsi"/>
          <w:bCs/>
          <w:sz w:val="24"/>
          <w:szCs w:val="24"/>
        </w:rPr>
        <w:t xml:space="preserve">organiziran i Europski regionalni sastanak u Dubrovniku, a iskustva između zemalja članica Partnerstva s područja Zapadnog Balkana također </w:t>
      </w:r>
      <w:r w:rsidR="00466A2C">
        <w:rPr>
          <w:rFonts w:cstheme="minorHAnsi"/>
          <w:bCs/>
          <w:sz w:val="24"/>
          <w:szCs w:val="24"/>
        </w:rPr>
        <w:t xml:space="preserve">su </w:t>
      </w:r>
      <w:r w:rsidR="00B83329" w:rsidRPr="0033148D">
        <w:rPr>
          <w:rFonts w:cstheme="minorHAnsi"/>
          <w:bCs/>
          <w:sz w:val="24"/>
          <w:szCs w:val="24"/>
        </w:rPr>
        <w:t xml:space="preserve">razmijenjena i tijekom konferencije održane u Budvi 2019. godine (Western </w:t>
      </w:r>
      <w:proofErr w:type="spellStart"/>
      <w:r w:rsidR="00B83329" w:rsidRPr="0033148D">
        <w:rPr>
          <w:rFonts w:cstheme="minorHAnsi"/>
          <w:bCs/>
          <w:sz w:val="24"/>
          <w:szCs w:val="24"/>
        </w:rPr>
        <w:t>Balkans</w:t>
      </w:r>
      <w:proofErr w:type="spellEnd"/>
      <w:r w:rsidR="00B83329" w:rsidRPr="0033148D">
        <w:rPr>
          <w:rFonts w:cstheme="minorHAnsi"/>
          <w:bCs/>
          <w:sz w:val="24"/>
          <w:szCs w:val="24"/>
        </w:rPr>
        <w:t xml:space="preserve"> </w:t>
      </w:r>
      <w:proofErr w:type="spellStart"/>
      <w:r w:rsidR="00B83329" w:rsidRPr="0033148D">
        <w:rPr>
          <w:rFonts w:cstheme="minorHAnsi"/>
          <w:bCs/>
          <w:sz w:val="24"/>
          <w:szCs w:val="24"/>
        </w:rPr>
        <w:t>Peer</w:t>
      </w:r>
      <w:proofErr w:type="spellEnd"/>
      <w:r w:rsidR="00B83329" w:rsidRPr="0033148D">
        <w:rPr>
          <w:rFonts w:cstheme="minorHAnsi"/>
          <w:bCs/>
          <w:sz w:val="24"/>
          <w:szCs w:val="24"/>
        </w:rPr>
        <w:t xml:space="preserve"> Exchange </w:t>
      </w:r>
      <w:proofErr w:type="spellStart"/>
      <w:r w:rsidR="00B83329" w:rsidRPr="0033148D">
        <w:rPr>
          <w:rFonts w:cstheme="minorHAnsi"/>
          <w:bCs/>
          <w:sz w:val="24"/>
          <w:szCs w:val="24"/>
        </w:rPr>
        <w:t>Meeting</w:t>
      </w:r>
      <w:proofErr w:type="spellEnd"/>
      <w:r w:rsidR="00B83329" w:rsidRPr="0033148D">
        <w:rPr>
          <w:rFonts w:cstheme="minorHAnsi"/>
          <w:bCs/>
          <w:sz w:val="24"/>
          <w:szCs w:val="24"/>
        </w:rPr>
        <w:t>), „Konferencije o otvorenoj vlasti“ održanoj u Sarajevu 2020. godine</w:t>
      </w:r>
      <w:r w:rsidR="00466A2C">
        <w:rPr>
          <w:rFonts w:cstheme="minorHAnsi"/>
          <w:bCs/>
          <w:sz w:val="24"/>
          <w:szCs w:val="24"/>
        </w:rPr>
        <w:t xml:space="preserve"> te na sastanku održanom na marginama Globalnog samita u </w:t>
      </w:r>
      <w:proofErr w:type="spellStart"/>
      <w:r w:rsidR="00466A2C">
        <w:rPr>
          <w:rFonts w:cstheme="minorHAnsi"/>
          <w:bCs/>
          <w:sz w:val="24"/>
          <w:szCs w:val="24"/>
        </w:rPr>
        <w:t>Tallinu</w:t>
      </w:r>
      <w:proofErr w:type="spellEnd"/>
      <w:r w:rsidR="00466A2C">
        <w:rPr>
          <w:rFonts w:cstheme="minorHAnsi"/>
          <w:bCs/>
          <w:sz w:val="24"/>
          <w:szCs w:val="24"/>
        </w:rPr>
        <w:t xml:space="preserve"> 2023. godine</w:t>
      </w:r>
      <w:r w:rsidR="00B83329" w:rsidRPr="0033148D">
        <w:rPr>
          <w:rFonts w:cstheme="minorHAnsi"/>
          <w:bCs/>
          <w:sz w:val="24"/>
          <w:szCs w:val="24"/>
        </w:rPr>
        <w:t xml:space="preserve">. Dodatno, 2020. godine delegacije zemalja članica Partnerstva s područja Zapadnog Balkana, uključujući i delegaciju Republike Hrvatske, sudjelovale su na studijskoj posjeti Latinskoj Americi (Open </w:t>
      </w:r>
      <w:proofErr w:type="spellStart"/>
      <w:r w:rsidR="00B83329" w:rsidRPr="0033148D">
        <w:rPr>
          <w:rFonts w:cstheme="minorHAnsi"/>
          <w:bCs/>
          <w:sz w:val="24"/>
          <w:szCs w:val="24"/>
        </w:rPr>
        <w:t>Government</w:t>
      </w:r>
      <w:proofErr w:type="spellEnd"/>
      <w:r w:rsidR="00B83329" w:rsidRPr="0033148D">
        <w:rPr>
          <w:rFonts w:cstheme="minorHAnsi"/>
          <w:bCs/>
          <w:sz w:val="24"/>
          <w:szCs w:val="24"/>
        </w:rPr>
        <w:t xml:space="preserve"> </w:t>
      </w:r>
      <w:proofErr w:type="spellStart"/>
      <w:r w:rsidR="00B83329" w:rsidRPr="0033148D">
        <w:rPr>
          <w:rFonts w:cstheme="minorHAnsi"/>
          <w:bCs/>
          <w:sz w:val="24"/>
          <w:szCs w:val="24"/>
        </w:rPr>
        <w:t>Partnership</w:t>
      </w:r>
      <w:proofErr w:type="spellEnd"/>
      <w:r w:rsidR="00B83329" w:rsidRPr="0033148D">
        <w:rPr>
          <w:rFonts w:cstheme="minorHAnsi"/>
          <w:bCs/>
          <w:sz w:val="24"/>
          <w:szCs w:val="24"/>
        </w:rPr>
        <w:t xml:space="preserve"> </w:t>
      </w:r>
      <w:proofErr w:type="spellStart"/>
      <w:r w:rsidR="00B83329" w:rsidRPr="0033148D">
        <w:rPr>
          <w:rFonts w:cstheme="minorHAnsi"/>
          <w:bCs/>
          <w:sz w:val="24"/>
          <w:szCs w:val="24"/>
        </w:rPr>
        <w:t>Peer</w:t>
      </w:r>
      <w:proofErr w:type="spellEnd"/>
      <w:r w:rsidR="00B83329" w:rsidRPr="0033148D">
        <w:rPr>
          <w:rFonts w:cstheme="minorHAnsi"/>
          <w:bCs/>
          <w:sz w:val="24"/>
          <w:szCs w:val="24"/>
        </w:rPr>
        <w:t xml:space="preserve"> Exchange </w:t>
      </w:r>
      <w:proofErr w:type="spellStart"/>
      <w:r w:rsidR="00B83329" w:rsidRPr="0033148D">
        <w:rPr>
          <w:rFonts w:cstheme="minorHAnsi"/>
          <w:bCs/>
          <w:sz w:val="24"/>
          <w:szCs w:val="24"/>
        </w:rPr>
        <w:t>Working</w:t>
      </w:r>
      <w:proofErr w:type="spellEnd"/>
      <w:r w:rsidR="00B83329" w:rsidRPr="0033148D">
        <w:rPr>
          <w:rFonts w:cstheme="minorHAnsi"/>
          <w:bCs/>
          <w:sz w:val="24"/>
          <w:szCs w:val="24"/>
        </w:rPr>
        <w:t xml:space="preserve"> </w:t>
      </w:r>
      <w:proofErr w:type="spellStart"/>
      <w:r w:rsidR="00B83329" w:rsidRPr="0033148D">
        <w:rPr>
          <w:rFonts w:cstheme="minorHAnsi"/>
          <w:bCs/>
          <w:sz w:val="24"/>
          <w:szCs w:val="24"/>
        </w:rPr>
        <w:t>Visit</w:t>
      </w:r>
      <w:proofErr w:type="spellEnd"/>
      <w:r w:rsidR="00B83329" w:rsidRPr="0033148D">
        <w:rPr>
          <w:rFonts w:cstheme="minorHAnsi"/>
          <w:bCs/>
          <w:sz w:val="24"/>
          <w:szCs w:val="24"/>
        </w:rPr>
        <w:t>), odnosno Urugvaju i Argentini i gradu Buenos Airesu, koji je član Inicijative na lokalnoj razini.</w:t>
      </w:r>
    </w:p>
    <w:p w14:paraId="54F6B1B4" w14:textId="3D4BB0A4" w:rsidR="00BA2911" w:rsidRPr="0033148D" w:rsidRDefault="00E344FC" w:rsidP="0033148D">
      <w:pPr>
        <w:shd w:val="clear" w:color="auto" w:fill="FFFFFF"/>
        <w:spacing w:after="120" w:line="240" w:lineRule="auto"/>
        <w:ind w:firstLine="708"/>
        <w:jc w:val="both"/>
        <w:rPr>
          <w:rFonts w:cstheme="minorHAnsi"/>
          <w:bCs/>
          <w:sz w:val="24"/>
          <w:szCs w:val="24"/>
        </w:rPr>
      </w:pPr>
      <w:r w:rsidRPr="0033148D">
        <w:rPr>
          <w:rFonts w:cstheme="minorHAnsi"/>
          <w:bCs/>
          <w:sz w:val="24"/>
          <w:szCs w:val="24"/>
        </w:rPr>
        <w:t xml:space="preserve">Prilikom izrade 4. Akcijskog plana </w:t>
      </w:r>
      <w:r w:rsidR="00C300FF">
        <w:rPr>
          <w:rFonts w:cstheme="minorHAnsi"/>
          <w:bCs/>
          <w:sz w:val="24"/>
          <w:szCs w:val="24"/>
        </w:rPr>
        <w:t xml:space="preserve">bila su uzeta </w:t>
      </w:r>
      <w:r w:rsidRPr="0033148D">
        <w:rPr>
          <w:rFonts w:cstheme="minorHAnsi"/>
          <w:bCs/>
          <w:sz w:val="24"/>
          <w:szCs w:val="24"/>
        </w:rPr>
        <w:t>u obzir dosadašnja iskustva i naučene lekcije.</w:t>
      </w:r>
      <w:r w:rsidR="00BA2911" w:rsidRPr="0033148D">
        <w:rPr>
          <w:rFonts w:cstheme="minorHAnsi"/>
          <w:bCs/>
          <w:sz w:val="24"/>
          <w:szCs w:val="24"/>
        </w:rPr>
        <w:t xml:space="preserve"> Plan </w:t>
      </w:r>
      <w:r w:rsidR="00C300FF">
        <w:rPr>
          <w:rFonts w:cstheme="minorHAnsi"/>
          <w:bCs/>
          <w:sz w:val="24"/>
          <w:szCs w:val="24"/>
        </w:rPr>
        <w:t xml:space="preserve">je </w:t>
      </w:r>
      <w:r w:rsidR="00BA2911" w:rsidRPr="0033148D">
        <w:rPr>
          <w:rFonts w:cstheme="minorHAnsi"/>
          <w:bCs/>
          <w:sz w:val="24"/>
          <w:szCs w:val="24"/>
        </w:rPr>
        <w:t>sadrž</w:t>
      </w:r>
      <w:r w:rsidR="00C300FF">
        <w:rPr>
          <w:rFonts w:cstheme="minorHAnsi"/>
          <w:bCs/>
          <w:sz w:val="24"/>
          <w:szCs w:val="24"/>
        </w:rPr>
        <w:t>avao</w:t>
      </w:r>
      <w:r w:rsidR="00BA2911" w:rsidRPr="0033148D">
        <w:rPr>
          <w:rFonts w:cstheme="minorHAnsi"/>
          <w:bCs/>
          <w:sz w:val="24"/>
          <w:szCs w:val="24"/>
        </w:rPr>
        <w:t xml:space="preserve"> šest prioritetnih</w:t>
      </w:r>
      <w:r w:rsidRPr="0033148D">
        <w:rPr>
          <w:rFonts w:cstheme="minorHAnsi"/>
          <w:bCs/>
          <w:sz w:val="24"/>
          <w:szCs w:val="24"/>
        </w:rPr>
        <w:t xml:space="preserve"> područja: </w:t>
      </w:r>
      <w:r w:rsidRPr="00C615B2">
        <w:rPr>
          <w:rFonts w:cstheme="minorHAnsi"/>
          <w:bCs/>
          <w:sz w:val="24"/>
          <w:szCs w:val="24"/>
        </w:rPr>
        <w:t xml:space="preserve">transparentnost; borba protiv korupcije; otvorenost; sudjelovanje građana/civilnoga društva u procesima izrade, provedbe i praćenja javnih politika; provedba Partnerstva za otvorenu vlast na lokalnoj i područnoj (regionalnoj) razini; te održivost inicijative Partnerstvo za otvorenu vlast. Za svako od ovih područja definirane su mjere i provedbene aktivnosti koje je potrebno realizirati u svrhu ostvarenja postavljenih ciljeva - ukupno 16 mjera i 47 aktivnosti. </w:t>
      </w:r>
      <w:r w:rsidR="002C10BC" w:rsidRPr="0033148D">
        <w:rPr>
          <w:rFonts w:cstheme="minorHAnsi"/>
          <w:bCs/>
          <w:sz w:val="24"/>
          <w:szCs w:val="24"/>
        </w:rPr>
        <w:t xml:space="preserve">4. Akcijski plan usvojen je na 132. sjednici Vlade Republike Hrvatske održanoj </w:t>
      </w:r>
      <w:r w:rsidR="002C10BC" w:rsidRPr="001E257F">
        <w:rPr>
          <w:rFonts w:cstheme="minorHAnsi"/>
          <w:bCs/>
          <w:sz w:val="24"/>
          <w:szCs w:val="24"/>
        </w:rPr>
        <w:t>14. srpnja 2022. godine.</w:t>
      </w:r>
      <w:r w:rsidR="00EF2572" w:rsidRPr="001E257F">
        <w:rPr>
          <w:rFonts w:cstheme="minorHAnsi"/>
          <w:bCs/>
          <w:sz w:val="24"/>
          <w:szCs w:val="24"/>
        </w:rPr>
        <w:t xml:space="preserve"> </w:t>
      </w:r>
      <w:r w:rsidRPr="00C615B2">
        <w:rPr>
          <w:rFonts w:cstheme="minorHAnsi"/>
          <w:bCs/>
          <w:sz w:val="24"/>
          <w:szCs w:val="24"/>
        </w:rPr>
        <w:t xml:space="preserve">Sukladno dosadašnjoj praksi, provedbu 4. </w:t>
      </w:r>
      <w:r w:rsidR="002C10BC" w:rsidRPr="00C615B2">
        <w:rPr>
          <w:rFonts w:cstheme="minorHAnsi"/>
          <w:bCs/>
          <w:sz w:val="24"/>
          <w:szCs w:val="24"/>
        </w:rPr>
        <w:t>Akcijskog plana pratio</w:t>
      </w:r>
      <w:r w:rsidRPr="00C615B2">
        <w:rPr>
          <w:rFonts w:cstheme="minorHAnsi"/>
          <w:bCs/>
          <w:sz w:val="24"/>
          <w:szCs w:val="24"/>
        </w:rPr>
        <w:t xml:space="preserve"> </w:t>
      </w:r>
      <w:r w:rsidR="002C10BC" w:rsidRPr="00C615B2">
        <w:rPr>
          <w:rFonts w:cstheme="minorHAnsi"/>
          <w:bCs/>
          <w:sz w:val="24"/>
          <w:szCs w:val="24"/>
        </w:rPr>
        <w:t>je i koordinirao</w:t>
      </w:r>
      <w:r w:rsidRPr="00C615B2">
        <w:rPr>
          <w:rFonts w:cstheme="minorHAnsi"/>
          <w:bCs/>
          <w:sz w:val="24"/>
          <w:szCs w:val="24"/>
        </w:rPr>
        <w:t xml:space="preserve"> Savjet inicijative Partnerstva za otvorenu vlast i Ured za udruge</w:t>
      </w:r>
      <w:r w:rsidR="00C300FF" w:rsidRPr="00C615B2">
        <w:rPr>
          <w:rFonts w:cstheme="minorHAnsi"/>
          <w:bCs/>
          <w:sz w:val="24"/>
          <w:szCs w:val="24"/>
        </w:rPr>
        <w:t xml:space="preserve"> Vlade RH</w:t>
      </w:r>
      <w:r w:rsidRPr="00C615B2">
        <w:rPr>
          <w:rFonts w:cstheme="minorHAnsi"/>
          <w:bCs/>
          <w:sz w:val="24"/>
          <w:szCs w:val="24"/>
        </w:rPr>
        <w:t>, kao stručna potpora radu Savjeta.</w:t>
      </w:r>
    </w:p>
    <w:p w14:paraId="170C36DC" w14:textId="0E19E59F" w:rsidR="00317937" w:rsidRPr="0033148D" w:rsidRDefault="00C971A7" w:rsidP="0033148D">
      <w:pPr>
        <w:spacing w:after="120" w:line="240" w:lineRule="auto"/>
        <w:ind w:firstLine="708"/>
        <w:jc w:val="both"/>
        <w:rPr>
          <w:rFonts w:cstheme="minorHAnsi"/>
          <w:sz w:val="24"/>
          <w:szCs w:val="24"/>
        </w:rPr>
      </w:pPr>
      <w:r w:rsidRPr="0033148D">
        <w:rPr>
          <w:rFonts w:cstheme="minorHAnsi"/>
          <w:sz w:val="24"/>
          <w:szCs w:val="24"/>
        </w:rPr>
        <w:t>Ovo I</w:t>
      </w:r>
      <w:r w:rsidR="0003770C" w:rsidRPr="0033148D">
        <w:rPr>
          <w:rFonts w:cstheme="minorHAnsi"/>
          <w:sz w:val="24"/>
          <w:szCs w:val="24"/>
        </w:rPr>
        <w:t xml:space="preserve">zvješće sadrži pregled napretka u izvršavanju mjera i aktivnosti predviđenih Akcijskim planom za provedbu inicijative Partnerstvo za otvorenu vlast u Republici Hrvatskoj za razdoblje do </w:t>
      </w:r>
      <w:r w:rsidR="00317937" w:rsidRPr="0033148D">
        <w:rPr>
          <w:rFonts w:cstheme="minorHAnsi"/>
          <w:sz w:val="24"/>
          <w:szCs w:val="24"/>
        </w:rPr>
        <w:t>konca 2023</w:t>
      </w:r>
      <w:r w:rsidR="0003770C" w:rsidRPr="0033148D">
        <w:rPr>
          <w:rFonts w:cstheme="minorHAnsi"/>
          <w:sz w:val="24"/>
          <w:szCs w:val="24"/>
        </w:rPr>
        <w:t>. godine</w:t>
      </w:r>
      <w:r w:rsidR="009F6C57" w:rsidRPr="0033148D">
        <w:rPr>
          <w:rFonts w:cstheme="minorHAnsi"/>
          <w:sz w:val="24"/>
          <w:szCs w:val="24"/>
        </w:rPr>
        <w:t xml:space="preserve"> (dalje u tekstu: Akcijski plan)</w:t>
      </w:r>
      <w:r w:rsidR="00C300FF">
        <w:rPr>
          <w:rFonts w:cstheme="minorHAnsi"/>
          <w:sz w:val="24"/>
          <w:szCs w:val="24"/>
        </w:rPr>
        <w:t>, uz naznaku da su izvještajem obuhvaćene i aktivnosti koje su završene u prva tri kvartala 20</w:t>
      </w:r>
      <w:r w:rsidR="00761293">
        <w:rPr>
          <w:rFonts w:cstheme="minorHAnsi"/>
          <w:sz w:val="24"/>
          <w:szCs w:val="24"/>
        </w:rPr>
        <w:t>2</w:t>
      </w:r>
      <w:r w:rsidR="00C300FF">
        <w:rPr>
          <w:rFonts w:cstheme="minorHAnsi"/>
          <w:sz w:val="24"/>
          <w:szCs w:val="24"/>
        </w:rPr>
        <w:t>4. godine</w:t>
      </w:r>
      <w:r w:rsidR="00913D98" w:rsidRPr="0033148D">
        <w:rPr>
          <w:rFonts w:cstheme="minorHAnsi"/>
          <w:sz w:val="24"/>
          <w:szCs w:val="24"/>
        </w:rPr>
        <w:t>.</w:t>
      </w:r>
      <w:r w:rsidR="0003770C" w:rsidRPr="0033148D">
        <w:rPr>
          <w:rFonts w:cstheme="minorHAnsi"/>
          <w:sz w:val="24"/>
          <w:szCs w:val="24"/>
        </w:rPr>
        <w:t xml:space="preserve"> Sukladno obavezama koje je Republika Hrvatska preuzela pristupanjem globalnoj inicijativi</w:t>
      </w:r>
      <w:r w:rsidR="00913D98" w:rsidRPr="0033148D">
        <w:rPr>
          <w:rFonts w:cstheme="minorHAnsi"/>
          <w:sz w:val="24"/>
          <w:szCs w:val="24"/>
        </w:rPr>
        <w:t xml:space="preserve"> Partnerstvo za otvorenu vlast </w:t>
      </w:r>
      <w:r w:rsidR="006C7562" w:rsidRPr="0033148D">
        <w:rPr>
          <w:rFonts w:cstheme="minorHAnsi"/>
          <w:sz w:val="24"/>
          <w:szCs w:val="24"/>
        </w:rPr>
        <w:t xml:space="preserve">te obavezama koje se preuzimaju Akcijskim planom, pisano izvješće o provedbi Akcijskog plana podnosi se Vladi Republike Hrvatske </w:t>
      </w:r>
      <w:r w:rsidR="00313CF3">
        <w:rPr>
          <w:rFonts w:cstheme="minorHAnsi"/>
          <w:sz w:val="24"/>
          <w:szCs w:val="24"/>
        </w:rPr>
        <w:t xml:space="preserve">nakon </w:t>
      </w:r>
      <w:r w:rsidR="00317937" w:rsidRPr="0033148D">
        <w:rPr>
          <w:rFonts w:cstheme="minorHAnsi"/>
          <w:sz w:val="24"/>
          <w:szCs w:val="24"/>
        </w:rPr>
        <w:t>provedbe akcijskog plana.</w:t>
      </w:r>
    </w:p>
    <w:p w14:paraId="4AA1620C" w14:textId="77777777" w:rsidR="0054521A" w:rsidRPr="0033148D" w:rsidRDefault="0054521A" w:rsidP="0033148D">
      <w:pPr>
        <w:spacing w:after="120" w:line="240" w:lineRule="auto"/>
        <w:jc w:val="both"/>
        <w:rPr>
          <w:rFonts w:cstheme="minorHAnsi"/>
          <w:sz w:val="24"/>
          <w:szCs w:val="24"/>
        </w:rPr>
      </w:pPr>
    </w:p>
    <w:p w14:paraId="2C3B552E" w14:textId="2F4DE49A" w:rsidR="0003770C" w:rsidRPr="00267611" w:rsidRDefault="0003770C" w:rsidP="00267611">
      <w:pPr>
        <w:pStyle w:val="Heading1"/>
        <w:rPr>
          <w:b/>
        </w:rPr>
      </w:pPr>
      <w:bookmarkStart w:id="3" w:name="_Toc183591311"/>
      <w:r w:rsidRPr="00267611">
        <w:rPr>
          <w:b/>
        </w:rPr>
        <w:t>2. Participativni proces praćenja napretka u provedbi Akcijskog plana</w:t>
      </w:r>
      <w:bookmarkEnd w:id="3"/>
      <w:r w:rsidRPr="00267611">
        <w:rPr>
          <w:b/>
        </w:rPr>
        <w:t xml:space="preserve"> </w:t>
      </w:r>
    </w:p>
    <w:p w14:paraId="5A47B2CC" w14:textId="40303AEA" w:rsidR="00265C09" w:rsidRPr="00980FAA" w:rsidRDefault="00265C09" w:rsidP="00267611">
      <w:pPr>
        <w:spacing w:after="0"/>
      </w:pPr>
    </w:p>
    <w:p w14:paraId="7B3F91FC" w14:textId="3A3F3AC2" w:rsidR="00DD64A8" w:rsidRPr="0033148D" w:rsidRDefault="0003770C" w:rsidP="0033148D">
      <w:pPr>
        <w:spacing w:after="120" w:line="240" w:lineRule="auto"/>
        <w:ind w:firstLine="708"/>
        <w:jc w:val="both"/>
        <w:rPr>
          <w:rFonts w:cstheme="minorHAnsi"/>
          <w:sz w:val="24"/>
          <w:szCs w:val="24"/>
        </w:rPr>
      </w:pPr>
      <w:r w:rsidRPr="0033148D">
        <w:rPr>
          <w:rFonts w:cstheme="minorHAnsi"/>
          <w:sz w:val="24"/>
          <w:szCs w:val="24"/>
        </w:rPr>
        <w:t>Kao i ti</w:t>
      </w:r>
      <w:r w:rsidR="00466A2C">
        <w:rPr>
          <w:rFonts w:cstheme="minorHAnsi"/>
          <w:sz w:val="24"/>
          <w:szCs w:val="24"/>
        </w:rPr>
        <w:t>jekom provedbe prethodnih a</w:t>
      </w:r>
      <w:r w:rsidR="00B83329" w:rsidRPr="0033148D">
        <w:rPr>
          <w:rFonts w:cstheme="minorHAnsi"/>
          <w:sz w:val="24"/>
          <w:szCs w:val="24"/>
        </w:rPr>
        <w:t>kcijskih</w:t>
      </w:r>
      <w:r w:rsidRPr="0033148D">
        <w:rPr>
          <w:rFonts w:cstheme="minorHAnsi"/>
          <w:sz w:val="24"/>
          <w:szCs w:val="24"/>
        </w:rPr>
        <w:t xml:space="preserve"> plan</w:t>
      </w:r>
      <w:r w:rsidR="00B83329" w:rsidRPr="0033148D">
        <w:rPr>
          <w:rFonts w:cstheme="minorHAnsi"/>
          <w:sz w:val="24"/>
          <w:szCs w:val="24"/>
        </w:rPr>
        <w:t xml:space="preserve">ova, </w:t>
      </w:r>
      <w:r w:rsidRPr="0033148D">
        <w:rPr>
          <w:rFonts w:cstheme="minorHAnsi"/>
          <w:sz w:val="24"/>
          <w:szCs w:val="24"/>
        </w:rPr>
        <w:t xml:space="preserve">za pripremu </w:t>
      </w:r>
      <w:r w:rsidR="00B83329" w:rsidRPr="0033148D">
        <w:rPr>
          <w:rFonts w:cstheme="minorHAnsi"/>
          <w:sz w:val="24"/>
          <w:szCs w:val="24"/>
        </w:rPr>
        <w:t xml:space="preserve">4. </w:t>
      </w:r>
      <w:r w:rsidRPr="0033148D">
        <w:rPr>
          <w:rFonts w:cstheme="minorHAnsi"/>
          <w:sz w:val="24"/>
          <w:szCs w:val="24"/>
        </w:rPr>
        <w:t>Akcijskog plana te praćenje provedbe i predlaganje Vladi Republike Hrvatske Izmjena i dopuna Akcijskog plana</w:t>
      </w:r>
      <w:r w:rsidR="00CB7851" w:rsidRPr="0033148D">
        <w:rPr>
          <w:rFonts w:cstheme="minorHAnsi"/>
          <w:sz w:val="24"/>
          <w:szCs w:val="24"/>
        </w:rPr>
        <w:t>,</w:t>
      </w:r>
      <w:r w:rsidR="008842AB" w:rsidRPr="0033148D">
        <w:rPr>
          <w:rFonts w:cstheme="minorHAnsi"/>
          <w:sz w:val="24"/>
          <w:szCs w:val="24"/>
        </w:rPr>
        <w:t xml:space="preserve"> bio je zadužen Savjet inicijative Partnerstvo za otvorenu vlast</w:t>
      </w:r>
      <w:r w:rsidRPr="0033148D">
        <w:rPr>
          <w:rFonts w:cstheme="minorHAnsi"/>
          <w:sz w:val="24"/>
          <w:szCs w:val="24"/>
        </w:rPr>
        <w:t xml:space="preserve">. </w:t>
      </w:r>
      <w:r w:rsidR="00742FA3" w:rsidRPr="0033148D">
        <w:rPr>
          <w:rFonts w:cstheme="minorHAnsi"/>
          <w:sz w:val="24"/>
          <w:szCs w:val="24"/>
        </w:rPr>
        <w:t>Savjet je</w:t>
      </w:r>
      <w:r w:rsidR="00466A2C">
        <w:rPr>
          <w:rFonts w:cstheme="minorHAnsi"/>
          <w:sz w:val="24"/>
          <w:szCs w:val="24"/>
        </w:rPr>
        <w:t xml:space="preserve"> </w:t>
      </w:r>
      <w:r w:rsidR="00313CF3">
        <w:rPr>
          <w:rFonts w:cstheme="minorHAnsi"/>
          <w:sz w:val="24"/>
          <w:szCs w:val="24"/>
        </w:rPr>
        <w:t>u izvještajnom razdoblju</w:t>
      </w:r>
      <w:r w:rsidR="00742FA3" w:rsidRPr="0033148D">
        <w:rPr>
          <w:rFonts w:cstheme="minorHAnsi"/>
          <w:sz w:val="24"/>
          <w:szCs w:val="24"/>
        </w:rPr>
        <w:t xml:space="preserve"> djelova</w:t>
      </w:r>
      <w:r w:rsidR="00313CF3">
        <w:rPr>
          <w:rFonts w:cstheme="minorHAnsi"/>
          <w:sz w:val="24"/>
          <w:szCs w:val="24"/>
        </w:rPr>
        <w:t>o</w:t>
      </w:r>
      <w:r w:rsidR="00742FA3" w:rsidRPr="0033148D">
        <w:rPr>
          <w:rFonts w:cstheme="minorHAnsi"/>
          <w:sz w:val="24"/>
          <w:szCs w:val="24"/>
        </w:rPr>
        <w:t xml:space="preserve"> u 3. sazivu,</w:t>
      </w:r>
      <w:r w:rsidRPr="0033148D">
        <w:rPr>
          <w:rFonts w:cstheme="minorHAnsi"/>
          <w:sz w:val="24"/>
          <w:szCs w:val="24"/>
        </w:rPr>
        <w:t xml:space="preserve"> </w:t>
      </w:r>
      <w:r w:rsidR="00742FA3" w:rsidRPr="0033148D">
        <w:rPr>
          <w:rFonts w:cstheme="minorHAnsi"/>
          <w:sz w:val="24"/>
          <w:szCs w:val="24"/>
        </w:rPr>
        <w:t xml:space="preserve">s </w:t>
      </w:r>
      <w:r w:rsidR="00DD64A8" w:rsidRPr="0033148D">
        <w:rPr>
          <w:rFonts w:cstheme="minorHAnsi"/>
          <w:sz w:val="24"/>
          <w:szCs w:val="24"/>
        </w:rPr>
        <w:t xml:space="preserve">26 </w:t>
      </w:r>
      <w:r w:rsidRPr="0033148D">
        <w:rPr>
          <w:rFonts w:cstheme="minorHAnsi"/>
          <w:sz w:val="24"/>
          <w:szCs w:val="24"/>
        </w:rPr>
        <w:t xml:space="preserve">članova (predstavnika državnih, lokalnih i regionalnih vlasti, organizacija civilnog društva, akademske zajednice i medija). </w:t>
      </w:r>
    </w:p>
    <w:p w14:paraId="50D06D4D" w14:textId="027326D5" w:rsidR="003C5FC3" w:rsidRPr="0033148D" w:rsidRDefault="0003770C" w:rsidP="0033148D">
      <w:pPr>
        <w:spacing w:after="120" w:line="240" w:lineRule="auto"/>
        <w:ind w:firstLine="708"/>
        <w:jc w:val="both"/>
        <w:rPr>
          <w:rFonts w:cstheme="minorHAnsi"/>
          <w:sz w:val="24"/>
          <w:szCs w:val="24"/>
        </w:rPr>
      </w:pPr>
      <w:r w:rsidRPr="0033148D">
        <w:rPr>
          <w:rFonts w:cstheme="minorHAnsi"/>
          <w:sz w:val="24"/>
          <w:szCs w:val="24"/>
        </w:rPr>
        <w:t xml:space="preserve">Osim predstavnika državnih tijela, na sjednicama su </w:t>
      </w:r>
      <w:r w:rsidR="00466A2C">
        <w:rPr>
          <w:rFonts w:cstheme="minorHAnsi"/>
          <w:sz w:val="24"/>
          <w:szCs w:val="24"/>
        </w:rPr>
        <w:t>tijekom provedbe 4. A</w:t>
      </w:r>
      <w:r w:rsidR="005B6A4B" w:rsidRPr="0033148D">
        <w:rPr>
          <w:rFonts w:cstheme="minorHAnsi"/>
          <w:sz w:val="24"/>
          <w:szCs w:val="24"/>
        </w:rPr>
        <w:t>kcijskog plana</w:t>
      </w:r>
      <w:r w:rsidR="00466A2C">
        <w:rPr>
          <w:rFonts w:cstheme="minorHAnsi"/>
          <w:sz w:val="24"/>
          <w:szCs w:val="24"/>
        </w:rPr>
        <w:t>,</w:t>
      </w:r>
      <w:r w:rsidR="005B6A4B" w:rsidRPr="0033148D">
        <w:rPr>
          <w:rFonts w:cstheme="minorHAnsi"/>
          <w:sz w:val="24"/>
          <w:szCs w:val="24"/>
        </w:rPr>
        <w:t xml:space="preserve"> </w:t>
      </w:r>
      <w:r w:rsidRPr="0033148D">
        <w:rPr>
          <w:rFonts w:cstheme="minorHAnsi"/>
          <w:sz w:val="24"/>
          <w:szCs w:val="24"/>
        </w:rPr>
        <w:t>kao članovi Savjeta sudjelovali predstavnici Hrvatske zajednice županija, Udruge gradov</w:t>
      </w:r>
      <w:r w:rsidR="00742FA3" w:rsidRPr="0033148D">
        <w:rPr>
          <w:rFonts w:cstheme="minorHAnsi"/>
          <w:sz w:val="24"/>
          <w:szCs w:val="24"/>
        </w:rPr>
        <w:t>a</w:t>
      </w:r>
      <w:r w:rsidRPr="0033148D">
        <w:rPr>
          <w:rFonts w:cstheme="minorHAnsi"/>
          <w:sz w:val="24"/>
          <w:szCs w:val="24"/>
        </w:rPr>
        <w:t xml:space="preserve">, </w:t>
      </w:r>
      <w:r w:rsidR="003B6415" w:rsidRPr="0033148D">
        <w:rPr>
          <w:rFonts w:cstheme="minorHAnsi"/>
          <w:sz w:val="24"/>
          <w:szCs w:val="24"/>
        </w:rPr>
        <w:t>Hrvatske zajednice</w:t>
      </w:r>
      <w:r w:rsidRPr="0033148D">
        <w:rPr>
          <w:rFonts w:cstheme="minorHAnsi"/>
          <w:sz w:val="24"/>
          <w:szCs w:val="24"/>
        </w:rPr>
        <w:t xml:space="preserve"> općina, Instituta za javne financije, Instituta za javnu upravu, </w:t>
      </w:r>
      <w:r w:rsidRPr="0033148D">
        <w:rPr>
          <w:rFonts w:cstheme="minorHAnsi"/>
          <w:color w:val="000000"/>
          <w:sz w:val="24"/>
          <w:szCs w:val="24"/>
        </w:rPr>
        <w:t xml:space="preserve">Foruma za slobodu odgoja, </w:t>
      </w:r>
      <w:r w:rsidR="00742FA3" w:rsidRPr="0033148D">
        <w:rPr>
          <w:rFonts w:cstheme="minorHAnsi"/>
          <w:color w:val="000000"/>
          <w:sz w:val="24"/>
          <w:szCs w:val="24"/>
        </w:rPr>
        <w:t xml:space="preserve">Zelene akcije, </w:t>
      </w:r>
      <w:r w:rsidRPr="0033148D">
        <w:rPr>
          <w:rFonts w:cstheme="minorHAnsi"/>
          <w:color w:val="000000"/>
          <w:sz w:val="24"/>
          <w:szCs w:val="24"/>
        </w:rPr>
        <w:t>Gonga, Hrvatske udruge otvoren</w:t>
      </w:r>
      <w:r w:rsidR="00742FA3" w:rsidRPr="0033148D">
        <w:rPr>
          <w:rFonts w:cstheme="minorHAnsi"/>
          <w:color w:val="000000"/>
          <w:sz w:val="24"/>
          <w:szCs w:val="24"/>
        </w:rPr>
        <w:t>ih sustava i interneta (</w:t>
      </w:r>
      <w:proofErr w:type="spellStart"/>
      <w:r w:rsidR="00742FA3" w:rsidRPr="0033148D">
        <w:rPr>
          <w:rFonts w:cstheme="minorHAnsi"/>
          <w:color w:val="000000"/>
          <w:sz w:val="24"/>
          <w:szCs w:val="24"/>
        </w:rPr>
        <w:t>HrOpen</w:t>
      </w:r>
      <w:proofErr w:type="spellEnd"/>
      <w:r w:rsidR="00742FA3" w:rsidRPr="0033148D">
        <w:rPr>
          <w:rFonts w:cstheme="minorHAnsi"/>
          <w:color w:val="000000"/>
          <w:sz w:val="24"/>
          <w:szCs w:val="24"/>
        </w:rPr>
        <w:t>) te</w:t>
      </w:r>
      <w:r w:rsidRPr="0033148D">
        <w:rPr>
          <w:rFonts w:cstheme="minorHAnsi"/>
          <w:color w:val="000000"/>
          <w:sz w:val="24"/>
          <w:szCs w:val="24"/>
        </w:rPr>
        <w:t xml:space="preserve"> Hr</w:t>
      </w:r>
      <w:r w:rsidR="00897884" w:rsidRPr="0033148D">
        <w:rPr>
          <w:rFonts w:cstheme="minorHAnsi"/>
          <w:color w:val="000000"/>
          <w:sz w:val="24"/>
          <w:szCs w:val="24"/>
        </w:rPr>
        <w:t>vatske udruge poslodavaca (HUP</w:t>
      </w:r>
      <w:r w:rsidRPr="0033148D">
        <w:rPr>
          <w:rFonts w:cstheme="minorHAnsi"/>
          <w:color w:val="000000"/>
          <w:sz w:val="24"/>
          <w:szCs w:val="24"/>
        </w:rPr>
        <w:t xml:space="preserve">). </w:t>
      </w:r>
      <w:r w:rsidRPr="0033148D">
        <w:rPr>
          <w:rFonts w:cstheme="minorHAnsi"/>
          <w:sz w:val="24"/>
          <w:szCs w:val="24"/>
        </w:rPr>
        <w:t xml:space="preserve">Ured za udruge </w:t>
      </w:r>
      <w:r w:rsidR="00CB7851" w:rsidRPr="0033148D">
        <w:rPr>
          <w:rFonts w:cstheme="minorHAnsi"/>
          <w:sz w:val="24"/>
          <w:szCs w:val="24"/>
        </w:rPr>
        <w:t xml:space="preserve">Vlade RH </w:t>
      </w:r>
      <w:r w:rsidR="00742FA3" w:rsidRPr="0033148D">
        <w:rPr>
          <w:rFonts w:cstheme="minorHAnsi"/>
          <w:sz w:val="24"/>
          <w:szCs w:val="24"/>
        </w:rPr>
        <w:t xml:space="preserve">nastavio je </w:t>
      </w:r>
      <w:r w:rsidRPr="0033148D">
        <w:rPr>
          <w:rFonts w:cstheme="minorHAnsi"/>
          <w:sz w:val="24"/>
          <w:szCs w:val="24"/>
        </w:rPr>
        <w:t>pruža</w:t>
      </w:r>
      <w:r w:rsidR="00742FA3" w:rsidRPr="0033148D">
        <w:rPr>
          <w:rFonts w:cstheme="minorHAnsi"/>
          <w:sz w:val="24"/>
          <w:szCs w:val="24"/>
        </w:rPr>
        <w:t>ti</w:t>
      </w:r>
      <w:r w:rsidRPr="0033148D">
        <w:rPr>
          <w:rFonts w:cstheme="minorHAnsi"/>
          <w:sz w:val="24"/>
          <w:szCs w:val="24"/>
        </w:rPr>
        <w:t xml:space="preserve"> stručnu i admini</w:t>
      </w:r>
      <w:r w:rsidR="00CB7851" w:rsidRPr="0033148D">
        <w:rPr>
          <w:rFonts w:cstheme="minorHAnsi"/>
          <w:sz w:val="24"/>
          <w:szCs w:val="24"/>
        </w:rPr>
        <w:t xml:space="preserve">strativnu podršku radu Savjeta, kao savjetodavnog tijela Vlade Republike Hrvatske, </w:t>
      </w:r>
      <w:r w:rsidRPr="0033148D">
        <w:rPr>
          <w:rFonts w:cstheme="minorHAnsi"/>
          <w:sz w:val="24"/>
          <w:szCs w:val="24"/>
        </w:rPr>
        <w:t>u uskoj suradnji s Ministarstvom vanjskih i europskih poslova</w:t>
      </w:r>
      <w:r w:rsidR="00897884" w:rsidRPr="0033148D">
        <w:rPr>
          <w:rFonts w:cstheme="minorHAnsi"/>
          <w:sz w:val="24"/>
          <w:szCs w:val="24"/>
        </w:rPr>
        <w:t>,</w:t>
      </w:r>
      <w:r w:rsidRPr="0033148D">
        <w:rPr>
          <w:rFonts w:cstheme="minorHAnsi"/>
          <w:sz w:val="24"/>
          <w:szCs w:val="24"/>
        </w:rPr>
        <w:t xml:space="preserve"> čija </w:t>
      </w:r>
      <w:r w:rsidR="00897884" w:rsidRPr="0033148D">
        <w:rPr>
          <w:rFonts w:cstheme="minorHAnsi"/>
          <w:sz w:val="24"/>
          <w:szCs w:val="24"/>
        </w:rPr>
        <w:t xml:space="preserve">je </w:t>
      </w:r>
      <w:r w:rsidRPr="0033148D">
        <w:rPr>
          <w:rFonts w:cstheme="minorHAnsi"/>
          <w:sz w:val="24"/>
          <w:szCs w:val="24"/>
        </w:rPr>
        <w:t>državna tajnica predsje</w:t>
      </w:r>
      <w:r w:rsidR="002C10BC" w:rsidRPr="0033148D">
        <w:rPr>
          <w:rFonts w:cstheme="minorHAnsi"/>
          <w:sz w:val="24"/>
          <w:szCs w:val="24"/>
        </w:rPr>
        <w:t xml:space="preserve">dala </w:t>
      </w:r>
      <w:r w:rsidR="00313CF3">
        <w:rPr>
          <w:rFonts w:cstheme="minorHAnsi"/>
          <w:sz w:val="24"/>
          <w:szCs w:val="24"/>
        </w:rPr>
        <w:t xml:space="preserve">sjednicama </w:t>
      </w:r>
      <w:r w:rsidR="002C10BC" w:rsidRPr="0033148D">
        <w:rPr>
          <w:rFonts w:cstheme="minorHAnsi"/>
          <w:sz w:val="24"/>
          <w:szCs w:val="24"/>
        </w:rPr>
        <w:t>Savjet</w:t>
      </w:r>
      <w:r w:rsidR="00313CF3">
        <w:rPr>
          <w:rFonts w:cstheme="minorHAnsi"/>
          <w:sz w:val="24"/>
          <w:szCs w:val="24"/>
        </w:rPr>
        <w:t>a</w:t>
      </w:r>
      <w:r w:rsidR="002C10BC" w:rsidRPr="0033148D">
        <w:rPr>
          <w:rFonts w:cstheme="minorHAnsi"/>
          <w:sz w:val="24"/>
          <w:szCs w:val="24"/>
        </w:rPr>
        <w:t xml:space="preserve">. </w:t>
      </w:r>
    </w:p>
    <w:p w14:paraId="3B56AC86" w14:textId="513478C1" w:rsidR="00637EB0" w:rsidRPr="0033148D" w:rsidRDefault="003B6415" w:rsidP="0033148D">
      <w:pPr>
        <w:pStyle w:val="Default"/>
        <w:spacing w:after="120"/>
        <w:ind w:firstLine="708"/>
        <w:jc w:val="both"/>
        <w:rPr>
          <w:rFonts w:asciiTheme="minorHAnsi" w:hAnsiTheme="minorHAnsi" w:cstheme="minorHAnsi"/>
        </w:rPr>
      </w:pPr>
      <w:r w:rsidRPr="0033148D">
        <w:rPr>
          <w:rFonts w:asciiTheme="minorHAnsi" w:hAnsiTheme="minorHAnsi" w:cstheme="minorHAnsi"/>
        </w:rPr>
        <w:t>O</w:t>
      </w:r>
      <w:r w:rsidR="0003770C" w:rsidRPr="0033148D">
        <w:rPr>
          <w:rFonts w:asciiTheme="minorHAnsi" w:hAnsiTheme="minorHAnsi" w:cstheme="minorHAnsi"/>
        </w:rPr>
        <w:t xml:space="preserve">d početka </w:t>
      </w:r>
      <w:r w:rsidR="00212CEB" w:rsidRPr="0033148D">
        <w:rPr>
          <w:rFonts w:asciiTheme="minorHAnsi" w:hAnsiTheme="minorHAnsi" w:cstheme="minorHAnsi"/>
        </w:rPr>
        <w:t xml:space="preserve">provedbe 4. Akcijskog plana </w:t>
      </w:r>
      <w:r w:rsidR="0003770C" w:rsidRPr="0033148D">
        <w:rPr>
          <w:rFonts w:asciiTheme="minorHAnsi" w:hAnsiTheme="minorHAnsi" w:cstheme="minorHAnsi"/>
        </w:rPr>
        <w:t xml:space="preserve">Savjet </w:t>
      </w:r>
      <w:r w:rsidR="002B2B10" w:rsidRPr="0033148D">
        <w:rPr>
          <w:rFonts w:asciiTheme="minorHAnsi" w:hAnsiTheme="minorHAnsi" w:cstheme="minorHAnsi"/>
        </w:rPr>
        <w:t xml:space="preserve">je </w:t>
      </w:r>
      <w:r w:rsidR="00212CEB" w:rsidRPr="0033148D">
        <w:rPr>
          <w:rFonts w:asciiTheme="minorHAnsi" w:hAnsiTheme="minorHAnsi" w:cstheme="minorHAnsi"/>
        </w:rPr>
        <w:t>održao</w:t>
      </w:r>
      <w:r w:rsidR="0003770C" w:rsidRPr="0033148D">
        <w:rPr>
          <w:rFonts w:asciiTheme="minorHAnsi" w:hAnsiTheme="minorHAnsi" w:cstheme="minorHAnsi"/>
        </w:rPr>
        <w:t xml:space="preserve"> </w:t>
      </w:r>
      <w:r w:rsidR="007A56A9" w:rsidRPr="0033148D">
        <w:rPr>
          <w:rFonts w:asciiTheme="minorHAnsi" w:hAnsiTheme="minorHAnsi" w:cstheme="minorHAnsi"/>
        </w:rPr>
        <w:t xml:space="preserve">4 </w:t>
      </w:r>
      <w:r w:rsidR="0003770C" w:rsidRPr="0033148D">
        <w:rPr>
          <w:rFonts w:asciiTheme="minorHAnsi" w:hAnsiTheme="minorHAnsi" w:cstheme="minorHAnsi"/>
        </w:rPr>
        <w:t>sjednic</w:t>
      </w:r>
      <w:r w:rsidR="00342746" w:rsidRPr="0033148D">
        <w:rPr>
          <w:rFonts w:asciiTheme="minorHAnsi" w:hAnsiTheme="minorHAnsi" w:cstheme="minorHAnsi"/>
        </w:rPr>
        <w:t>e:</w:t>
      </w:r>
      <w:r w:rsidR="006E69A8" w:rsidRPr="0033148D">
        <w:rPr>
          <w:rFonts w:asciiTheme="minorHAnsi" w:hAnsiTheme="minorHAnsi" w:cstheme="minorHAnsi"/>
        </w:rPr>
        <w:t xml:space="preserve"> u veljači 2022., svibnju 2023. te veljači</w:t>
      </w:r>
      <w:r w:rsidR="007A56A9" w:rsidRPr="0033148D">
        <w:rPr>
          <w:rFonts w:asciiTheme="minorHAnsi" w:hAnsiTheme="minorHAnsi" w:cstheme="minorHAnsi"/>
        </w:rPr>
        <w:t xml:space="preserve"> i srpnju</w:t>
      </w:r>
      <w:r w:rsidR="006E69A8" w:rsidRPr="0033148D">
        <w:rPr>
          <w:rFonts w:asciiTheme="minorHAnsi" w:hAnsiTheme="minorHAnsi" w:cstheme="minorHAnsi"/>
        </w:rPr>
        <w:t xml:space="preserve"> 2024. godine</w:t>
      </w:r>
      <w:r w:rsidR="00637EB0" w:rsidRPr="0033148D">
        <w:rPr>
          <w:rFonts w:asciiTheme="minorHAnsi" w:hAnsiTheme="minorHAnsi" w:cstheme="minorHAnsi"/>
        </w:rPr>
        <w:t>.</w:t>
      </w:r>
      <w:r w:rsidR="00342746" w:rsidRPr="0033148D">
        <w:rPr>
          <w:rFonts w:asciiTheme="minorHAnsi" w:hAnsiTheme="minorHAnsi" w:cstheme="minorHAnsi"/>
        </w:rPr>
        <w:t xml:space="preserve"> </w:t>
      </w:r>
      <w:r w:rsidR="00637EB0" w:rsidRPr="0033148D">
        <w:rPr>
          <w:rFonts w:asciiTheme="minorHAnsi" w:hAnsiTheme="minorHAnsi" w:cstheme="minorHAnsi"/>
        </w:rPr>
        <w:t xml:space="preserve">Sjednice </w:t>
      </w:r>
      <w:r w:rsidR="00342746" w:rsidRPr="0033148D">
        <w:rPr>
          <w:rFonts w:asciiTheme="minorHAnsi" w:hAnsiTheme="minorHAnsi" w:cstheme="minorHAnsi"/>
        </w:rPr>
        <w:t xml:space="preserve">su </w:t>
      </w:r>
      <w:r w:rsidR="002B2B10" w:rsidRPr="0033148D">
        <w:rPr>
          <w:rFonts w:asciiTheme="minorHAnsi" w:hAnsiTheme="minorHAnsi" w:cstheme="minorHAnsi"/>
        </w:rPr>
        <w:t xml:space="preserve">održavane </w:t>
      </w:r>
      <w:r w:rsidR="00637EB0" w:rsidRPr="0033148D">
        <w:rPr>
          <w:rFonts w:asciiTheme="minorHAnsi" w:hAnsiTheme="minorHAnsi" w:cstheme="minorHAnsi"/>
        </w:rPr>
        <w:t xml:space="preserve">online ili </w:t>
      </w:r>
      <w:r w:rsidR="00342746" w:rsidRPr="0033148D">
        <w:rPr>
          <w:rFonts w:asciiTheme="minorHAnsi" w:hAnsiTheme="minorHAnsi" w:cstheme="minorHAnsi"/>
        </w:rPr>
        <w:t>uživo</w:t>
      </w:r>
      <w:r w:rsidR="00637EB0" w:rsidRPr="0033148D">
        <w:rPr>
          <w:rFonts w:asciiTheme="minorHAnsi" w:hAnsiTheme="minorHAnsi" w:cstheme="minorHAnsi"/>
        </w:rPr>
        <w:t xml:space="preserve">: 8. sjednica održana je 11. veljače 2022. godine online, putem platforme Microsoft </w:t>
      </w:r>
      <w:proofErr w:type="spellStart"/>
      <w:r w:rsidR="00637EB0" w:rsidRPr="0033148D">
        <w:rPr>
          <w:rFonts w:asciiTheme="minorHAnsi" w:hAnsiTheme="minorHAnsi" w:cstheme="minorHAnsi"/>
        </w:rPr>
        <w:t>Teams</w:t>
      </w:r>
      <w:proofErr w:type="spellEnd"/>
      <w:r w:rsidR="00637EB0" w:rsidRPr="0033148D">
        <w:rPr>
          <w:rFonts w:asciiTheme="minorHAnsi" w:hAnsiTheme="minorHAnsi" w:cstheme="minorHAnsi"/>
        </w:rPr>
        <w:t>, dok su 9.</w:t>
      </w:r>
      <w:r w:rsidR="007A56A9" w:rsidRPr="0033148D">
        <w:rPr>
          <w:rFonts w:asciiTheme="minorHAnsi" w:hAnsiTheme="minorHAnsi" w:cstheme="minorHAnsi"/>
        </w:rPr>
        <w:t xml:space="preserve">, </w:t>
      </w:r>
      <w:r w:rsidR="00637EB0" w:rsidRPr="0033148D">
        <w:rPr>
          <w:rFonts w:asciiTheme="minorHAnsi" w:hAnsiTheme="minorHAnsi" w:cstheme="minorHAnsi"/>
        </w:rPr>
        <w:t xml:space="preserve">10. </w:t>
      </w:r>
      <w:r w:rsidR="007A56A9" w:rsidRPr="0033148D">
        <w:rPr>
          <w:rFonts w:asciiTheme="minorHAnsi" w:hAnsiTheme="minorHAnsi" w:cstheme="minorHAnsi"/>
        </w:rPr>
        <w:t xml:space="preserve">i 11. </w:t>
      </w:r>
      <w:r w:rsidR="00637EB0" w:rsidRPr="0033148D">
        <w:rPr>
          <w:rFonts w:asciiTheme="minorHAnsi" w:hAnsiTheme="minorHAnsi" w:cstheme="minorHAnsi"/>
        </w:rPr>
        <w:t xml:space="preserve">sjednica održane uživo, </w:t>
      </w:r>
      <w:r w:rsidR="002B2B10" w:rsidRPr="0033148D">
        <w:rPr>
          <w:rFonts w:asciiTheme="minorHAnsi" w:hAnsiTheme="minorHAnsi" w:cstheme="minorHAnsi"/>
        </w:rPr>
        <w:t>u prostorijama Ministarstva vanjskih i europskih poslova</w:t>
      </w:r>
      <w:r w:rsidR="00637EB0" w:rsidRPr="0033148D">
        <w:rPr>
          <w:rFonts w:asciiTheme="minorHAnsi" w:hAnsiTheme="minorHAnsi" w:cstheme="minorHAnsi"/>
        </w:rPr>
        <w:t xml:space="preserve"> 26. svibnja 2023., </w:t>
      </w:r>
      <w:r w:rsidR="007A56A9" w:rsidRPr="0033148D">
        <w:rPr>
          <w:rFonts w:asciiTheme="minorHAnsi" w:hAnsiTheme="minorHAnsi" w:cstheme="minorHAnsi"/>
        </w:rPr>
        <w:t xml:space="preserve">te </w:t>
      </w:r>
      <w:r w:rsidR="00637EB0" w:rsidRPr="0033148D">
        <w:rPr>
          <w:rFonts w:asciiTheme="minorHAnsi" w:hAnsiTheme="minorHAnsi" w:cstheme="minorHAnsi"/>
        </w:rPr>
        <w:t xml:space="preserve">29. veljače </w:t>
      </w:r>
      <w:r w:rsidR="007A56A9" w:rsidRPr="0033148D">
        <w:rPr>
          <w:rFonts w:asciiTheme="minorHAnsi" w:hAnsiTheme="minorHAnsi" w:cstheme="minorHAnsi"/>
        </w:rPr>
        <w:t xml:space="preserve">i 12. srpnja </w:t>
      </w:r>
      <w:r w:rsidR="00637EB0" w:rsidRPr="0033148D">
        <w:rPr>
          <w:rFonts w:asciiTheme="minorHAnsi" w:hAnsiTheme="minorHAnsi" w:cstheme="minorHAnsi"/>
        </w:rPr>
        <w:t>2024. godine</w:t>
      </w:r>
      <w:r w:rsidR="00212CEB" w:rsidRPr="0033148D">
        <w:rPr>
          <w:rFonts w:asciiTheme="minorHAnsi" w:hAnsiTheme="minorHAnsi" w:cstheme="minorHAnsi"/>
        </w:rPr>
        <w:t>.</w:t>
      </w:r>
      <w:r w:rsidR="002B2B10" w:rsidRPr="0033148D">
        <w:rPr>
          <w:rFonts w:asciiTheme="minorHAnsi" w:hAnsiTheme="minorHAnsi" w:cstheme="minorHAnsi"/>
        </w:rPr>
        <w:t xml:space="preserve"> </w:t>
      </w:r>
      <w:r w:rsidR="00342746" w:rsidRPr="0033148D">
        <w:rPr>
          <w:rFonts w:asciiTheme="minorHAnsi" w:hAnsiTheme="minorHAnsi" w:cstheme="minorHAnsi"/>
        </w:rPr>
        <w:t>Komunikacija između članova Savjeta između sjednica održavana je putem elektroničke pošte.</w:t>
      </w:r>
      <w:r w:rsidR="002C10BC" w:rsidRPr="0033148D">
        <w:rPr>
          <w:rFonts w:asciiTheme="minorHAnsi" w:hAnsiTheme="minorHAnsi" w:cstheme="minorHAnsi"/>
        </w:rPr>
        <w:t xml:space="preserve"> </w:t>
      </w:r>
    </w:p>
    <w:p w14:paraId="424338AD" w14:textId="62A99D13" w:rsidR="00637EB0" w:rsidRPr="0033148D" w:rsidRDefault="00637EB0" w:rsidP="0033148D">
      <w:pPr>
        <w:pStyle w:val="Default"/>
        <w:spacing w:after="120"/>
        <w:ind w:firstLine="708"/>
        <w:jc w:val="both"/>
        <w:rPr>
          <w:rFonts w:asciiTheme="minorHAnsi" w:hAnsiTheme="minorHAnsi" w:cstheme="minorHAnsi"/>
        </w:rPr>
      </w:pPr>
      <w:r w:rsidRPr="0033148D">
        <w:rPr>
          <w:rFonts w:asciiTheme="minorHAnsi" w:hAnsiTheme="minorHAnsi" w:cstheme="minorHAnsi"/>
        </w:rPr>
        <w:t>U</w:t>
      </w:r>
      <w:r w:rsidR="002C10BC" w:rsidRPr="0033148D">
        <w:rPr>
          <w:rFonts w:asciiTheme="minorHAnsi" w:hAnsiTheme="minorHAnsi" w:cstheme="minorHAnsi"/>
        </w:rPr>
        <w:t xml:space="preserve"> prosincu 2022. i </w:t>
      </w:r>
      <w:r w:rsidR="00C81A03" w:rsidRPr="0033148D">
        <w:rPr>
          <w:rFonts w:asciiTheme="minorHAnsi" w:hAnsiTheme="minorHAnsi" w:cstheme="minorHAnsi"/>
        </w:rPr>
        <w:t xml:space="preserve">prosincu </w:t>
      </w:r>
      <w:r w:rsidR="002C10BC" w:rsidRPr="0033148D">
        <w:rPr>
          <w:rFonts w:asciiTheme="minorHAnsi" w:hAnsiTheme="minorHAnsi" w:cstheme="minorHAnsi"/>
        </w:rPr>
        <w:t xml:space="preserve">2023. održana su javna događanja na kojima je javnosti predstavljen napredak u ostvarenju akcijskog plana, ali i novosti u globalnoj inicijativi Partnerstvo za otvorenu vlast. </w:t>
      </w:r>
    </w:p>
    <w:p w14:paraId="2A35C6CC" w14:textId="39B50B89" w:rsidR="0054521A" w:rsidRPr="0033148D" w:rsidRDefault="00637EB0" w:rsidP="0033148D">
      <w:pPr>
        <w:pStyle w:val="Default"/>
        <w:spacing w:after="120"/>
        <w:ind w:firstLine="708"/>
        <w:jc w:val="both"/>
        <w:rPr>
          <w:rFonts w:cstheme="minorHAnsi"/>
        </w:rPr>
      </w:pPr>
      <w:r w:rsidRPr="0033148D">
        <w:rPr>
          <w:rFonts w:asciiTheme="minorHAnsi" w:hAnsiTheme="minorHAnsi" w:cstheme="minorHAnsi"/>
        </w:rPr>
        <w:t>Od 16 mjera 4. Akcijskog plana najveći je naglasak bio na podizanju transparentnosti: 10 mjera (29 aktivnosti) odnosilo se na područje transparentnosti; 2 mjere (4 aktivnosti) na borbu protiv korupcije te po jedna mjera na otvorenost (2 aktivnosti), sudjelovanje građana/civilnoga društva u procesima izrade, provedbe i praćenja javnih politika (5 aktivnosti); provedbu Partnerstva za otvorenu vlast na lokalnoj i područnoj (regionalnoj) razini (3 aktivnosti); te održivost inicijative Partnerstvo za otvorenu vlast (4 aktivnosti). Neovisni mehanizam za reviziju obećavajućima je ocijenio dvije, koje se temelje na postignućima prethodnih akcijskih planova u području unaprjeđenja transparentnosti medija (mjera 8) te uvođenja nove Antikorupcijske strategije i Zakona o lobiranju (mjera 12).</w:t>
      </w:r>
    </w:p>
    <w:p w14:paraId="6C185AD8" w14:textId="0C897A54" w:rsidR="003B6415" w:rsidRDefault="00A91449" w:rsidP="00267611">
      <w:pPr>
        <w:pStyle w:val="Heading1"/>
        <w:rPr>
          <w:b/>
        </w:rPr>
      </w:pPr>
      <w:bookmarkStart w:id="4" w:name="_Toc183591312"/>
      <w:r w:rsidRPr="00267611">
        <w:rPr>
          <w:b/>
        </w:rPr>
        <w:t xml:space="preserve">3. </w:t>
      </w:r>
      <w:r w:rsidR="009947F3" w:rsidRPr="00267611">
        <w:rPr>
          <w:b/>
        </w:rPr>
        <w:t>Novosti i izmjene tijekom provedbe Akcijskog plana</w:t>
      </w:r>
      <w:bookmarkEnd w:id="4"/>
    </w:p>
    <w:p w14:paraId="5CA7232C" w14:textId="77777777" w:rsidR="00265C09" w:rsidRPr="00980FAA" w:rsidRDefault="00265C09" w:rsidP="00267611">
      <w:pPr>
        <w:spacing w:after="0"/>
      </w:pPr>
    </w:p>
    <w:p w14:paraId="35F58A81" w14:textId="6E9D9EFB" w:rsidR="00EF2572" w:rsidRPr="0033148D" w:rsidRDefault="00313CF3" w:rsidP="0033148D">
      <w:pPr>
        <w:spacing w:after="120" w:line="240" w:lineRule="auto"/>
        <w:ind w:firstLine="708"/>
        <w:jc w:val="both"/>
        <w:rPr>
          <w:rFonts w:cstheme="minorHAnsi"/>
          <w:sz w:val="24"/>
          <w:szCs w:val="24"/>
        </w:rPr>
      </w:pPr>
      <w:r>
        <w:rPr>
          <w:rFonts w:cstheme="minorHAnsi"/>
          <w:sz w:val="24"/>
          <w:szCs w:val="24"/>
        </w:rPr>
        <w:t>Izmjenama</w:t>
      </w:r>
      <w:r w:rsidR="00B06593" w:rsidRPr="0033148D">
        <w:rPr>
          <w:rFonts w:cstheme="minorHAnsi"/>
          <w:sz w:val="24"/>
          <w:szCs w:val="24"/>
        </w:rPr>
        <w:t xml:space="preserve"> Zakona o ustrojstvu i djelokrugu tijela državne uprave </w:t>
      </w:r>
      <w:r w:rsidR="00D56C3D" w:rsidRPr="0033148D">
        <w:rPr>
          <w:rFonts w:cstheme="minorHAnsi"/>
          <w:sz w:val="24"/>
          <w:szCs w:val="24"/>
        </w:rPr>
        <w:t>(</w:t>
      </w:r>
      <w:r w:rsidR="000D6A40" w:rsidRPr="0033148D">
        <w:rPr>
          <w:rFonts w:cstheme="minorHAnsi"/>
          <w:sz w:val="24"/>
          <w:szCs w:val="24"/>
        </w:rPr>
        <w:t xml:space="preserve">NN </w:t>
      </w:r>
      <w:r w:rsidR="00D56C3D" w:rsidRPr="0033148D">
        <w:rPr>
          <w:rFonts w:cstheme="minorHAnsi"/>
          <w:sz w:val="24"/>
          <w:szCs w:val="24"/>
        </w:rPr>
        <w:t>85/20</w:t>
      </w:r>
      <w:r w:rsidR="001A5899" w:rsidRPr="0033148D">
        <w:rPr>
          <w:rFonts w:cstheme="minorHAnsi"/>
          <w:sz w:val="24"/>
          <w:szCs w:val="24"/>
        </w:rPr>
        <w:t>, 21/23, 57/24</w:t>
      </w:r>
      <w:r w:rsidR="00D56C3D" w:rsidRPr="0033148D">
        <w:rPr>
          <w:rFonts w:cstheme="minorHAnsi"/>
          <w:sz w:val="24"/>
          <w:szCs w:val="24"/>
        </w:rPr>
        <w:t xml:space="preserve">) </w:t>
      </w:r>
      <w:r>
        <w:rPr>
          <w:rFonts w:cstheme="minorHAnsi"/>
          <w:sz w:val="24"/>
          <w:szCs w:val="24"/>
        </w:rPr>
        <w:t>tijekom provedbe ovog Akcijskog plana (zadnje izmjene s</w:t>
      </w:r>
      <w:r w:rsidR="001A5899" w:rsidRPr="0033148D">
        <w:rPr>
          <w:rFonts w:cstheme="minorHAnsi"/>
          <w:sz w:val="24"/>
          <w:szCs w:val="24"/>
        </w:rPr>
        <w:t xml:space="preserve"> stupi</w:t>
      </w:r>
      <w:r>
        <w:rPr>
          <w:rFonts w:cstheme="minorHAnsi"/>
          <w:sz w:val="24"/>
          <w:szCs w:val="24"/>
        </w:rPr>
        <w:t>le su</w:t>
      </w:r>
      <w:r w:rsidR="001A5899" w:rsidRPr="0033148D">
        <w:rPr>
          <w:rFonts w:cstheme="minorHAnsi"/>
          <w:sz w:val="24"/>
          <w:szCs w:val="24"/>
        </w:rPr>
        <w:t xml:space="preserve"> na snagu 17. svibnja 2024. </w:t>
      </w:r>
      <w:r w:rsidR="00B06593" w:rsidRPr="0033148D">
        <w:rPr>
          <w:rFonts w:cstheme="minorHAnsi"/>
          <w:sz w:val="24"/>
          <w:szCs w:val="24"/>
        </w:rPr>
        <w:t>godine</w:t>
      </w:r>
      <w:r>
        <w:rPr>
          <w:rFonts w:cstheme="minorHAnsi"/>
          <w:sz w:val="24"/>
          <w:szCs w:val="24"/>
        </w:rPr>
        <w:t>)</w:t>
      </w:r>
      <w:r w:rsidR="00B06593" w:rsidRPr="0033148D">
        <w:rPr>
          <w:rFonts w:cstheme="minorHAnsi"/>
          <w:sz w:val="24"/>
          <w:szCs w:val="24"/>
        </w:rPr>
        <w:t xml:space="preserve"> promijenili su se nazivi pojedinih tijela državne uprave, uključujući i tijela koja su nositelji i (su)nositelji mjera i aktivnosti iz Akcijskog plana</w:t>
      </w:r>
      <w:r w:rsidR="001A5899" w:rsidRPr="0033148D">
        <w:rPr>
          <w:rFonts w:cstheme="minorHAnsi"/>
          <w:sz w:val="24"/>
          <w:szCs w:val="24"/>
        </w:rPr>
        <w:t>:</w:t>
      </w:r>
      <w:r w:rsidR="00D56C3D" w:rsidRPr="0033148D">
        <w:rPr>
          <w:rFonts w:cstheme="minorHAnsi"/>
          <w:sz w:val="24"/>
          <w:szCs w:val="24"/>
        </w:rPr>
        <w:t xml:space="preserve"> </w:t>
      </w:r>
      <w:r w:rsidR="000E3EAD" w:rsidRPr="0033148D">
        <w:rPr>
          <w:rFonts w:cstheme="minorHAnsi"/>
          <w:sz w:val="24"/>
          <w:szCs w:val="24"/>
        </w:rPr>
        <w:t xml:space="preserve">Ministarstvo pravosuđa i uprave postalo je Ministarstvo pravosuđa, uprave i digitalne transformacije. Središnji državni ured za </w:t>
      </w:r>
      <w:r w:rsidR="000E3EAD" w:rsidRPr="0033148D">
        <w:rPr>
          <w:rFonts w:cstheme="minorHAnsi"/>
          <w:sz w:val="24"/>
          <w:szCs w:val="24"/>
        </w:rPr>
        <w:lastRenderedPageBreak/>
        <w:t>razvoj digitalnog društva je prestao s radom, a njegov pravni slijednik je Ministarstvo pravosuđa, uprave i digitalne transformacije, koje je preuzelo sva prava i obveze Središnjeg državnog ureda za razvoj digitalnog društva</w:t>
      </w:r>
      <w:r w:rsidR="00AC2759" w:rsidRPr="0033148D">
        <w:rPr>
          <w:rFonts w:cstheme="minorHAnsi"/>
          <w:sz w:val="24"/>
          <w:szCs w:val="24"/>
        </w:rPr>
        <w:t>.</w:t>
      </w:r>
      <w:r w:rsidR="001A5899" w:rsidRPr="0033148D">
        <w:rPr>
          <w:rFonts w:cstheme="minorHAnsi"/>
          <w:sz w:val="24"/>
          <w:szCs w:val="24"/>
        </w:rPr>
        <w:t xml:space="preserve"> </w:t>
      </w:r>
    </w:p>
    <w:p w14:paraId="27CF5799" w14:textId="1655EFDB" w:rsidR="005979EC" w:rsidRDefault="00B06593" w:rsidP="0033148D">
      <w:pPr>
        <w:spacing w:after="120" w:line="240" w:lineRule="auto"/>
        <w:ind w:firstLine="708"/>
        <w:jc w:val="both"/>
        <w:rPr>
          <w:rFonts w:cstheme="minorHAnsi"/>
          <w:sz w:val="24"/>
          <w:szCs w:val="24"/>
        </w:rPr>
      </w:pPr>
      <w:r w:rsidRPr="0033148D">
        <w:rPr>
          <w:rFonts w:cstheme="minorHAnsi"/>
          <w:sz w:val="24"/>
          <w:szCs w:val="24"/>
        </w:rPr>
        <w:t>Dalje u tekstu, u opisu provedbe Akcijskog plana</w:t>
      </w:r>
      <w:r w:rsidR="00662306" w:rsidRPr="0033148D">
        <w:rPr>
          <w:rFonts w:cstheme="minorHAnsi"/>
          <w:sz w:val="24"/>
          <w:szCs w:val="24"/>
        </w:rPr>
        <w:t>,</w:t>
      </w:r>
      <w:r w:rsidR="00E93F35" w:rsidRPr="0033148D">
        <w:rPr>
          <w:rFonts w:cstheme="minorHAnsi"/>
          <w:sz w:val="24"/>
          <w:szCs w:val="24"/>
        </w:rPr>
        <w:t xml:space="preserve"> navedeni su nazivi tijela državne uprave</w:t>
      </w:r>
      <w:r w:rsidR="00897E5E" w:rsidRPr="0033148D">
        <w:rPr>
          <w:rFonts w:cstheme="minorHAnsi"/>
          <w:sz w:val="24"/>
          <w:szCs w:val="24"/>
        </w:rPr>
        <w:t xml:space="preserve"> koji su korišteni </w:t>
      </w:r>
      <w:r w:rsidR="00C81A03" w:rsidRPr="0033148D">
        <w:rPr>
          <w:rFonts w:cstheme="minorHAnsi"/>
          <w:sz w:val="24"/>
          <w:szCs w:val="24"/>
        </w:rPr>
        <w:t xml:space="preserve">prije </w:t>
      </w:r>
      <w:r w:rsidR="001A5899" w:rsidRPr="0033148D">
        <w:rPr>
          <w:rFonts w:cstheme="minorHAnsi"/>
          <w:sz w:val="24"/>
          <w:szCs w:val="24"/>
        </w:rPr>
        <w:t>stupanja na snagu</w:t>
      </w:r>
      <w:r w:rsidR="00897E5E" w:rsidRPr="0033148D">
        <w:rPr>
          <w:rFonts w:cstheme="minorHAnsi"/>
          <w:sz w:val="24"/>
          <w:szCs w:val="24"/>
        </w:rPr>
        <w:t xml:space="preserve"> </w:t>
      </w:r>
      <w:r w:rsidR="00C81A03" w:rsidRPr="0033148D">
        <w:rPr>
          <w:rFonts w:cstheme="minorHAnsi"/>
          <w:sz w:val="24"/>
          <w:szCs w:val="24"/>
        </w:rPr>
        <w:t xml:space="preserve">izmjena </w:t>
      </w:r>
      <w:r w:rsidR="00897E5E" w:rsidRPr="0033148D">
        <w:rPr>
          <w:rFonts w:cstheme="minorHAnsi"/>
          <w:sz w:val="24"/>
          <w:szCs w:val="24"/>
        </w:rPr>
        <w:t>Zakona o ustrojstvu i djelokrugu</w:t>
      </w:r>
      <w:r w:rsidR="00926D8D" w:rsidRPr="0033148D">
        <w:rPr>
          <w:rFonts w:cstheme="minorHAnsi"/>
          <w:sz w:val="24"/>
          <w:szCs w:val="24"/>
        </w:rPr>
        <w:t xml:space="preserve"> </w:t>
      </w:r>
      <w:r w:rsidR="00897E5E" w:rsidRPr="0033148D">
        <w:rPr>
          <w:rFonts w:cstheme="minorHAnsi"/>
          <w:sz w:val="24"/>
          <w:szCs w:val="24"/>
        </w:rPr>
        <w:t>tijela državne uprave</w:t>
      </w:r>
      <w:r w:rsidR="00926D8D" w:rsidRPr="0033148D">
        <w:rPr>
          <w:rFonts w:cstheme="minorHAnsi"/>
          <w:sz w:val="24"/>
          <w:szCs w:val="24"/>
        </w:rPr>
        <w:t xml:space="preserve">, </w:t>
      </w:r>
      <w:r w:rsidR="00897E5E" w:rsidRPr="0033148D">
        <w:rPr>
          <w:rFonts w:cstheme="minorHAnsi"/>
          <w:sz w:val="24"/>
          <w:szCs w:val="24"/>
        </w:rPr>
        <w:t>budući da su ti nazivi korišteni u Akcijskom planu</w:t>
      </w:r>
      <w:r w:rsidR="00926D8D" w:rsidRPr="0033148D">
        <w:rPr>
          <w:rFonts w:cstheme="minorHAnsi"/>
          <w:sz w:val="24"/>
          <w:szCs w:val="24"/>
        </w:rPr>
        <w:t>, ali</w:t>
      </w:r>
      <w:r w:rsidR="00897E5E" w:rsidRPr="0033148D">
        <w:rPr>
          <w:rFonts w:cstheme="minorHAnsi"/>
          <w:sz w:val="24"/>
          <w:szCs w:val="24"/>
        </w:rPr>
        <w:t xml:space="preserve"> i tijekom gotovo čitavog, razdoblja n</w:t>
      </w:r>
      <w:r w:rsidR="00D424BA" w:rsidRPr="0033148D">
        <w:rPr>
          <w:rFonts w:cstheme="minorHAnsi"/>
          <w:sz w:val="24"/>
          <w:szCs w:val="24"/>
        </w:rPr>
        <w:t>jegove provedbe.</w:t>
      </w:r>
    </w:p>
    <w:p w14:paraId="79DF558F" w14:textId="77777777" w:rsidR="003630D9" w:rsidRPr="0033148D" w:rsidRDefault="003630D9" w:rsidP="0033148D">
      <w:pPr>
        <w:spacing w:after="120" w:line="240" w:lineRule="auto"/>
        <w:ind w:firstLine="708"/>
        <w:jc w:val="both"/>
        <w:rPr>
          <w:rFonts w:cstheme="minorHAnsi"/>
          <w:sz w:val="24"/>
          <w:szCs w:val="24"/>
          <w:highlight w:val="yellow"/>
        </w:rPr>
      </w:pPr>
    </w:p>
    <w:p w14:paraId="01C9DC26" w14:textId="482814EF" w:rsidR="002C46D9" w:rsidRDefault="00D424BA" w:rsidP="00267611">
      <w:pPr>
        <w:pStyle w:val="Heading1"/>
        <w:rPr>
          <w:b/>
        </w:rPr>
      </w:pPr>
      <w:bookmarkStart w:id="5" w:name="_Toc183591313"/>
      <w:r w:rsidRPr="00267611">
        <w:rPr>
          <w:b/>
        </w:rPr>
        <w:t>4</w:t>
      </w:r>
      <w:r w:rsidR="003A4B84" w:rsidRPr="00267611">
        <w:rPr>
          <w:b/>
        </w:rPr>
        <w:t>. Razmjena iskustava</w:t>
      </w:r>
      <w:bookmarkEnd w:id="5"/>
    </w:p>
    <w:p w14:paraId="44B7F1CF" w14:textId="77777777" w:rsidR="00265C09" w:rsidRPr="00980FAA" w:rsidRDefault="00265C09" w:rsidP="00267611">
      <w:pPr>
        <w:spacing w:after="0"/>
      </w:pPr>
    </w:p>
    <w:p w14:paraId="3C5B039A" w14:textId="6D286756" w:rsidR="003A4B84" w:rsidRPr="0033148D" w:rsidRDefault="003A4B84" w:rsidP="0033148D">
      <w:pPr>
        <w:spacing w:after="120" w:line="240" w:lineRule="auto"/>
        <w:ind w:firstLine="708"/>
        <w:jc w:val="both"/>
        <w:rPr>
          <w:rFonts w:cstheme="minorHAnsi"/>
          <w:sz w:val="24"/>
          <w:szCs w:val="24"/>
        </w:rPr>
      </w:pPr>
      <w:r w:rsidRPr="0033148D">
        <w:rPr>
          <w:rFonts w:cstheme="minorHAnsi"/>
          <w:sz w:val="24"/>
          <w:szCs w:val="24"/>
        </w:rPr>
        <w:t>Delegacija Republike Hrvatske sudjelovala je u rujnu 2023. godine na 8. globalnom samitu Inicij</w:t>
      </w:r>
      <w:r w:rsidR="005B6A4B" w:rsidRPr="0033148D">
        <w:rPr>
          <w:rFonts w:cstheme="minorHAnsi"/>
          <w:sz w:val="24"/>
          <w:szCs w:val="24"/>
        </w:rPr>
        <w:t>a</w:t>
      </w:r>
      <w:r w:rsidRPr="0033148D">
        <w:rPr>
          <w:rFonts w:cstheme="minorHAnsi"/>
          <w:sz w:val="24"/>
          <w:szCs w:val="24"/>
        </w:rPr>
        <w:t xml:space="preserve">tive, koji je održan u Tallinnu, u Estoniji. </w:t>
      </w:r>
    </w:p>
    <w:p w14:paraId="1D0FB055" w14:textId="0E72F8D7" w:rsidR="00095C25" w:rsidRPr="0033148D" w:rsidRDefault="008663F2" w:rsidP="0033148D">
      <w:pPr>
        <w:spacing w:after="120" w:line="240" w:lineRule="auto"/>
        <w:jc w:val="both"/>
        <w:rPr>
          <w:rFonts w:cstheme="minorHAnsi"/>
          <w:sz w:val="24"/>
          <w:szCs w:val="24"/>
        </w:rPr>
      </w:pPr>
      <w:r w:rsidRPr="0033148D">
        <w:rPr>
          <w:rFonts w:cstheme="minorHAnsi"/>
          <w:sz w:val="24"/>
          <w:szCs w:val="24"/>
        </w:rPr>
        <w:t>N</w:t>
      </w:r>
      <w:r w:rsidR="003A4B84" w:rsidRPr="0033148D">
        <w:rPr>
          <w:rFonts w:cstheme="minorHAnsi"/>
          <w:sz w:val="24"/>
          <w:szCs w:val="24"/>
        </w:rPr>
        <w:t xml:space="preserve">a marginama 8. samita održan </w:t>
      </w:r>
      <w:r w:rsidRPr="0033148D">
        <w:rPr>
          <w:rFonts w:cstheme="minorHAnsi"/>
          <w:sz w:val="24"/>
          <w:szCs w:val="24"/>
        </w:rPr>
        <w:t xml:space="preserve">je i </w:t>
      </w:r>
      <w:r w:rsidR="003A4B84" w:rsidRPr="0033148D">
        <w:rPr>
          <w:rFonts w:cstheme="minorHAnsi"/>
          <w:sz w:val="24"/>
          <w:szCs w:val="24"/>
        </w:rPr>
        <w:t>sastanak</w:t>
      </w:r>
      <w:r w:rsidR="00DF1EE5" w:rsidRPr="0033148D">
        <w:rPr>
          <w:rFonts w:cstheme="minorHAnsi"/>
          <w:sz w:val="24"/>
          <w:szCs w:val="24"/>
        </w:rPr>
        <w:t xml:space="preserve"> </w:t>
      </w:r>
      <w:r w:rsidR="003A4B84" w:rsidRPr="0033148D">
        <w:rPr>
          <w:rFonts w:cstheme="minorHAnsi"/>
          <w:sz w:val="24"/>
          <w:szCs w:val="24"/>
        </w:rPr>
        <w:t xml:space="preserve">zemalja </w:t>
      </w:r>
      <w:r w:rsidR="00347661" w:rsidRPr="0033148D">
        <w:rPr>
          <w:rFonts w:cstheme="minorHAnsi"/>
          <w:sz w:val="24"/>
          <w:szCs w:val="24"/>
        </w:rPr>
        <w:t xml:space="preserve">Istočnog partnerstva i </w:t>
      </w:r>
      <w:r w:rsidR="00DF1EE5" w:rsidRPr="0033148D">
        <w:rPr>
          <w:rFonts w:cstheme="minorHAnsi"/>
          <w:sz w:val="24"/>
          <w:szCs w:val="24"/>
        </w:rPr>
        <w:t>Zapadnog Balkana (</w:t>
      </w:r>
      <w:proofErr w:type="spellStart"/>
      <w:r w:rsidR="00347661" w:rsidRPr="0033148D">
        <w:rPr>
          <w:rFonts w:cstheme="minorHAnsi"/>
          <w:sz w:val="24"/>
          <w:szCs w:val="24"/>
        </w:rPr>
        <w:t>Easter</w:t>
      </w:r>
      <w:r w:rsidR="006130CC">
        <w:rPr>
          <w:rFonts w:cstheme="minorHAnsi"/>
          <w:sz w:val="24"/>
          <w:szCs w:val="24"/>
        </w:rPr>
        <w:t>n</w:t>
      </w:r>
      <w:proofErr w:type="spellEnd"/>
      <w:r w:rsidR="00347661" w:rsidRPr="0033148D">
        <w:rPr>
          <w:rFonts w:cstheme="minorHAnsi"/>
          <w:sz w:val="24"/>
          <w:szCs w:val="24"/>
        </w:rPr>
        <w:t xml:space="preserve"> </w:t>
      </w:r>
      <w:proofErr w:type="spellStart"/>
      <w:r w:rsidR="00347661" w:rsidRPr="0033148D">
        <w:rPr>
          <w:rFonts w:cstheme="minorHAnsi"/>
          <w:sz w:val="24"/>
          <w:szCs w:val="24"/>
        </w:rPr>
        <w:t>Partnership</w:t>
      </w:r>
      <w:proofErr w:type="spellEnd"/>
      <w:r w:rsidR="00347661" w:rsidRPr="0033148D">
        <w:rPr>
          <w:rFonts w:cstheme="minorHAnsi"/>
          <w:sz w:val="24"/>
          <w:szCs w:val="24"/>
        </w:rPr>
        <w:t xml:space="preserve"> </w:t>
      </w:r>
      <w:proofErr w:type="spellStart"/>
      <w:r w:rsidR="00347661" w:rsidRPr="0033148D">
        <w:rPr>
          <w:rFonts w:cstheme="minorHAnsi"/>
          <w:sz w:val="24"/>
          <w:szCs w:val="24"/>
        </w:rPr>
        <w:t>and</w:t>
      </w:r>
      <w:proofErr w:type="spellEnd"/>
      <w:r w:rsidR="00347661" w:rsidRPr="0033148D">
        <w:rPr>
          <w:rFonts w:cstheme="minorHAnsi"/>
          <w:sz w:val="24"/>
          <w:szCs w:val="24"/>
        </w:rPr>
        <w:t xml:space="preserve"> </w:t>
      </w:r>
      <w:r w:rsidR="00DF1EE5" w:rsidRPr="0033148D">
        <w:rPr>
          <w:rFonts w:cstheme="minorHAnsi"/>
          <w:sz w:val="24"/>
          <w:szCs w:val="24"/>
        </w:rPr>
        <w:t xml:space="preserve">Western </w:t>
      </w:r>
      <w:proofErr w:type="spellStart"/>
      <w:r w:rsidR="00DF1EE5" w:rsidRPr="0033148D">
        <w:rPr>
          <w:rFonts w:cstheme="minorHAnsi"/>
          <w:sz w:val="24"/>
          <w:szCs w:val="24"/>
        </w:rPr>
        <w:t>Balkans</w:t>
      </w:r>
      <w:proofErr w:type="spellEnd"/>
      <w:r w:rsidR="00DF1EE5" w:rsidRPr="0033148D">
        <w:rPr>
          <w:rFonts w:cstheme="minorHAnsi"/>
          <w:sz w:val="24"/>
          <w:szCs w:val="24"/>
        </w:rPr>
        <w:t xml:space="preserve"> </w:t>
      </w:r>
      <w:proofErr w:type="spellStart"/>
      <w:r w:rsidR="00347661" w:rsidRPr="0033148D">
        <w:rPr>
          <w:rFonts w:cstheme="minorHAnsi"/>
          <w:sz w:val="24"/>
          <w:szCs w:val="24"/>
        </w:rPr>
        <w:t>Community</w:t>
      </w:r>
      <w:proofErr w:type="spellEnd"/>
      <w:r w:rsidR="00347661" w:rsidRPr="0033148D">
        <w:rPr>
          <w:rFonts w:cstheme="minorHAnsi"/>
          <w:sz w:val="24"/>
          <w:szCs w:val="24"/>
        </w:rPr>
        <w:t xml:space="preserve"> </w:t>
      </w:r>
      <w:proofErr w:type="spellStart"/>
      <w:r w:rsidR="00347661" w:rsidRPr="0033148D">
        <w:rPr>
          <w:rFonts w:cstheme="minorHAnsi"/>
          <w:sz w:val="24"/>
          <w:szCs w:val="24"/>
        </w:rPr>
        <w:t>Gathering</w:t>
      </w:r>
      <w:proofErr w:type="spellEnd"/>
      <w:r w:rsidR="003A4B84" w:rsidRPr="0033148D">
        <w:rPr>
          <w:rFonts w:cstheme="minorHAnsi"/>
          <w:sz w:val="24"/>
          <w:szCs w:val="24"/>
        </w:rPr>
        <w:t>)</w:t>
      </w:r>
      <w:r w:rsidRPr="0033148D">
        <w:rPr>
          <w:rFonts w:cstheme="minorHAnsi"/>
          <w:sz w:val="24"/>
          <w:szCs w:val="24"/>
        </w:rPr>
        <w:t>, na kojemu je delegacija iz Hrvatske podijelila iskustva sa sustavima e-Građani i e-Savjetovanja te Portalom otvorenih podataka, izrađenima kroz sudjelovanje u inicijativi Partnerstvo za otvorenu vlast.</w:t>
      </w:r>
      <w:r w:rsidRPr="0033148D">
        <w:rPr>
          <w:rFonts w:cstheme="minorHAnsi"/>
          <w:color w:val="424242"/>
          <w:sz w:val="24"/>
          <w:szCs w:val="24"/>
          <w:shd w:val="clear" w:color="auto" w:fill="FFFFFF"/>
        </w:rPr>
        <w:t xml:space="preserve"> </w:t>
      </w:r>
    </w:p>
    <w:p w14:paraId="73FF2946" w14:textId="73DA1B86" w:rsidR="00095C25" w:rsidRPr="0033148D" w:rsidRDefault="00095C25" w:rsidP="0033148D">
      <w:pPr>
        <w:spacing w:after="120" w:line="240" w:lineRule="auto"/>
        <w:jc w:val="both"/>
        <w:rPr>
          <w:rFonts w:cstheme="minorHAnsi"/>
          <w:sz w:val="24"/>
          <w:szCs w:val="24"/>
        </w:rPr>
      </w:pPr>
      <w:r w:rsidRPr="0033148D">
        <w:rPr>
          <w:rFonts w:cstheme="minorHAnsi"/>
          <w:sz w:val="24"/>
          <w:szCs w:val="24"/>
        </w:rPr>
        <w:t>Također, Ured za udruge je u okviru svog programa m</w:t>
      </w:r>
      <w:r w:rsidR="00DF1EE5" w:rsidRPr="0033148D">
        <w:rPr>
          <w:rFonts w:cstheme="minorHAnsi"/>
          <w:sz w:val="24"/>
          <w:szCs w:val="24"/>
        </w:rPr>
        <w:t xml:space="preserve">eđunarodne suradnje tijekom </w:t>
      </w:r>
      <w:r w:rsidR="003A4B84" w:rsidRPr="0033148D">
        <w:rPr>
          <w:rFonts w:cstheme="minorHAnsi"/>
          <w:sz w:val="24"/>
          <w:szCs w:val="24"/>
        </w:rPr>
        <w:t>2022. i 2023</w:t>
      </w:r>
      <w:r w:rsidRPr="0033148D">
        <w:rPr>
          <w:rFonts w:cstheme="minorHAnsi"/>
          <w:sz w:val="24"/>
          <w:szCs w:val="24"/>
        </w:rPr>
        <w:t xml:space="preserve">. godine iskustva provedbe </w:t>
      </w:r>
      <w:r w:rsidR="00BB70DB" w:rsidRPr="0033148D">
        <w:rPr>
          <w:rFonts w:cstheme="minorHAnsi"/>
          <w:sz w:val="24"/>
          <w:szCs w:val="24"/>
        </w:rPr>
        <w:t xml:space="preserve">Partnerstva za otvorenu vlast </w:t>
      </w:r>
      <w:r w:rsidRPr="0033148D">
        <w:rPr>
          <w:rFonts w:cstheme="minorHAnsi"/>
          <w:sz w:val="24"/>
          <w:szCs w:val="24"/>
        </w:rPr>
        <w:t>predstavio delegacijama</w:t>
      </w:r>
      <w:r w:rsidR="00F40221" w:rsidRPr="0033148D">
        <w:rPr>
          <w:rFonts w:cstheme="minorHAnsi"/>
          <w:sz w:val="24"/>
          <w:szCs w:val="24"/>
        </w:rPr>
        <w:t xml:space="preserve"> Kazahstana u travnju 2022.,</w:t>
      </w:r>
      <w:r w:rsidRPr="0033148D">
        <w:rPr>
          <w:rFonts w:cstheme="minorHAnsi"/>
          <w:sz w:val="24"/>
          <w:szCs w:val="24"/>
        </w:rPr>
        <w:t xml:space="preserve"> </w:t>
      </w:r>
      <w:r w:rsidR="00F40221" w:rsidRPr="0033148D">
        <w:rPr>
          <w:rFonts w:cstheme="minorHAnsi"/>
          <w:sz w:val="24"/>
          <w:szCs w:val="24"/>
        </w:rPr>
        <w:t xml:space="preserve">Crne Gore u travnju 2023. i Srbije u svibnju/lipnju 2022. te u rujnu 2023. </w:t>
      </w:r>
    </w:p>
    <w:p w14:paraId="7A423952" w14:textId="146C254E" w:rsidR="009544B4" w:rsidRPr="00267611" w:rsidRDefault="00D424BA" w:rsidP="00267611">
      <w:pPr>
        <w:pStyle w:val="Heading1"/>
        <w:rPr>
          <w:b/>
        </w:rPr>
      </w:pPr>
      <w:bookmarkStart w:id="6" w:name="_Toc183591314"/>
      <w:r w:rsidRPr="00267611">
        <w:rPr>
          <w:b/>
        </w:rPr>
        <w:t>5</w:t>
      </w:r>
      <w:r w:rsidR="009544B4" w:rsidRPr="00267611">
        <w:rPr>
          <w:b/>
        </w:rPr>
        <w:t xml:space="preserve">. </w:t>
      </w:r>
      <w:r w:rsidR="0026531F" w:rsidRPr="00267611">
        <w:rPr>
          <w:b/>
        </w:rPr>
        <w:t>Sažetak provedbe mjera i aktivnosti</w:t>
      </w:r>
      <w:bookmarkEnd w:id="6"/>
    </w:p>
    <w:p w14:paraId="13DFDBDC" w14:textId="77777777" w:rsidR="00265C09" w:rsidRPr="00980FAA" w:rsidRDefault="00265C09" w:rsidP="00267611">
      <w:pPr>
        <w:spacing w:after="0"/>
      </w:pPr>
    </w:p>
    <w:p w14:paraId="4E732D2B" w14:textId="6F7BA0B8" w:rsidR="000F3EE3" w:rsidRPr="0033148D" w:rsidRDefault="000F3EE3" w:rsidP="0033148D">
      <w:pPr>
        <w:spacing w:after="120" w:line="240" w:lineRule="auto"/>
        <w:ind w:firstLine="708"/>
        <w:jc w:val="both"/>
        <w:rPr>
          <w:rFonts w:cstheme="minorHAnsi"/>
          <w:bCs/>
          <w:sz w:val="24"/>
          <w:szCs w:val="24"/>
        </w:rPr>
      </w:pPr>
      <w:r w:rsidRPr="0033148D">
        <w:rPr>
          <w:rFonts w:cstheme="minorHAnsi"/>
          <w:bCs/>
          <w:sz w:val="24"/>
          <w:szCs w:val="24"/>
        </w:rPr>
        <w:t>U 4. Akcijskom planu težište je stavljeno na daljnje unaprjeđenje transparentnosti i otvaranje podataka, za što je podloga osigurana u prethodnim akcijskim planovima, primarno kroz uspostavu Portala otvorenih podataka i projekt e-Savjetovanja. Kroz šest tematskih cjelina, Akcijski plan predvidio je nastavak prethodno započetih aktivnosti na području prava na pristup informacijama i fiskalne transparentnosti, borbe protiv korupcije i sudjelovanja građana u procesima donošenja odluka, a posebnu komponentu ovog Akcijskog plana činile su mjere usmjerene na lokalnu i područnu (regionalnu) razinu, što je predstavljao prvi korak u implementaciji Partnerstva za otvorenu vlast na lokalnoj i područnoj (regionalnoj) razini u Republici Hrvatskoj i dodatno približavanje Partnerstva za otvorenu vlast građanima, te na održivost inicijative.</w:t>
      </w:r>
    </w:p>
    <w:p w14:paraId="185CC25B" w14:textId="1F11CEF4" w:rsidR="00BA343A" w:rsidRDefault="00BA343A" w:rsidP="0033148D">
      <w:pPr>
        <w:spacing w:after="120" w:line="240" w:lineRule="auto"/>
        <w:ind w:firstLine="708"/>
        <w:jc w:val="both"/>
        <w:rPr>
          <w:rFonts w:cstheme="minorHAnsi"/>
          <w:bCs/>
          <w:sz w:val="24"/>
          <w:szCs w:val="24"/>
        </w:rPr>
      </w:pPr>
      <w:r w:rsidRPr="0033148D">
        <w:rPr>
          <w:rFonts w:cstheme="minorHAnsi"/>
          <w:bCs/>
          <w:sz w:val="24"/>
          <w:szCs w:val="24"/>
        </w:rPr>
        <w:t xml:space="preserve">U tematskom dijelu Akcijskog plana pod nazivom </w:t>
      </w:r>
      <w:r w:rsidRPr="003630D9">
        <w:rPr>
          <w:rFonts w:cstheme="minorHAnsi"/>
          <w:b/>
          <w:bCs/>
          <w:sz w:val="24"/>
          <w:szCs w:val="24"/>
        </w:rPr>
        <w:t>„Transparentnost“</w:t>
      </w:r>
      <w:r w:rsidRPr="0033148D">
        <w:rPr>
          <w:rFonts w:cstheme="minorHAnsi"/>
          <w:bCs/>
          <w:sz w:val="24"/>
          <w:szCs w:val="24"/>
        </w:rPr>
        <w:t xml:space="preserve"> naglasak je bio na dodatnom unaprjeđenju provedbe Zakona o pravu na pristup informacijama. Usprkos kvalitetnom zakonskom okviru primje</w:t>
      </w:r>
      <w:r w:rsidR="00F12609">
        <w:rPr>
          <w:rFonts w:cstheme="minorHAnsi"/>
          <w:bCs/>
          <w:sz w:val="24"/>
          <w:szCs w:val="24"/>
        </w:rPr>
        <w:t>t</w:t>
      </w:r>
      <w:r w:rsidRPr="0033148D">
        <w:rPr>
          <w:rFonts w:cstheme="minorHAnsi"/>
          <w:bCs/>
          <w:sz w:val="24"/>
          <w:szCs w:val="24"/>
        </w:rPr>
        <w:t>ni su i daljnji izazovi u provedbi Zakona, te je Akcijski plan predvidio aktivnosti usmjerene na edukaciju i informiranje o pravu na pristup informacijama. Nastavljen je rad na osiguranju fiskalne transparentnosti, kroz povećanje vidljivosti i upotrebe baze podataka o izvršenim plaćanjima s jedinstvenog računa državnog proračuna, pravovremeno objavljivanje prijedloga državnog proračuna s obrazloženjima u otvorenom formatu (</w:t>
      </w:r>
      <w:proofErr w:type="spellStart"/>
      <w:r w:rsidRPr="0033148D">
        <w:rPr>
          <w:rFonts w:cstheme="minorHAnsi"/>
          <w:bCs/>
          <w:sz w:val="24"/>
          <w:szCs w:val="24"/>
        </w:rPr>
        <w:t>excel</w:t>
      </w:r>
      <w:proofErr w:type="spellEnd"/>
      <w:r w:rsidRPr="0033148D">
        <w:rPr>
          <w:rFonts w:cstheme="minorHAnsi"/>
          <w:bCs/>
          <w:sz w:val="24"/>
          <w:szCs w:val="24"/>
        </w:rPr>
        <w:t xml:space="preserve"> i word); promoviranje transparentnog objavljivanja proračunskih podataka; pravovremeno i kontinuirano objavljivanje mjesečne serije prihoda i rashoda Državnog proračuna prema nacionalnoj metodologiji računskog plana, tromjesečno objavljivanje izvještaja o prihodima i rashodima, primicima i izdacima izvanproračunskih korisnika državnog proračuna, kao i povećanje transparentnosti proračuna jedinica lokalne i područne (regionalne) samouprave.</w:t>
      </w:r>
    </w:p>
    <w:p w14:paraId="093D1B78" w14:textId="17E70C65" w:rsidR="006B27CD" w:rsidRPr="0033148D" w:rsidRDefault="006B27CD" w:rsidP="0033148D">
      <w:pPr>
        <w:spacing w:after="120" w:line="240" w:lineRule="auto"/>
        <w:ind w:firstLine="708"/>
        <w:jc w:val="both"/>
        <w:rPr>
          <w:rFonts w:cstheme="minorHAnsi"/>
          <w:bCs/>
          <w:sz w:val="24"/>
          <w:szCs w:val="24"/>
        </w:rPr>
      </w:pPr>
      <w:r>
        <w:rPr>
          <w:rFonts w:cstheme="minorHAnsi"/>
          <w:bCs/>
          <w:sz w:val="24"/>
          <w:szCs w:val="24"/>
        </w:rPr>
        <w:lastRenderedPageBreak/>
        <w:t>Tematska cjelina „</w:t>
      </w:r>
      <w:r w:rsidRPr="006B27CD">
        <w:rPr>
          <w:rFonts w:cstheme="minorHAnsi"/>
          <w:b/>
          <w:bCs/>
          <w:sz w:val="24"/>
          <w:szCs w:val="24"/>
        </w:rPr>
        <w:t>Borba protiv korupcije</w:t>
      </w:r>
      <w:r>
        <w:rPr>
          <w:rFonts w:cstheme="minorHAnsi"/>
          <w:bCs/>
          <w:sz w:val="24"/>
          <w:szCs w:val="24"/>
        </w:rPr>
        <w:t>“ usmjerila se na zaštitu prijavitelja nepravilnosti kroz provedbu edukacija za pravosudne dužnosnike, povjerljive osobe, sindikalne povjerenike, pružatelje besplatne pravne pomoći i zaposlenike, te na unaprjeđenje normativnoga okvira za sprječavanje korupcije donošenjem Akcijskog plana za razdoblje 2022. do 2024. uz Strategiju sprječavanja korupcije za razdoblje od 2021.do 2030. godine, i izradom Zakona o lobiranju.</w:t>
      </w:r>
    </w:p>
    <w:p w14:paraId="3998CE10" w14:textId="6E75777F" w:rsidR="00BA343A" w:rsidRPr="0033148D" w:rsidRDefault="00BA343A" w:rsidP="0033148D">
      <w:pPr>
        <w:spacing w:after="120" w:line="240" w:lineRule="auto"/>
        <w:ind w:firstLine="708"/>
        <w:jc w:val="both"/>
        <w:rPr>
          <w:rFonts w:cstheme="minorHAnsi"/>
          <w:bCs/>
          <w:sz w:val="24"/>
          <w:szCs w:val="24"/>
        </w:rPr>
      </w:pPr>
      <w:r w:rsidRPr="0033148D">
        <w:rPr>
          <w:rFonts w:cstheme="minorHAnsi"/>
          <w:bCs/>
          <w:sz w:val="24"/>
          <w:szCs w:val="24"/>
        </w:rPr>
        <w:t xml:space="preserve">U </w:t>
      </w:r>
      <w:r w:rsidR="000F3EE3" w:rsidRPr="0033148D">
        <w:rPr>
          <w:rFonts w:cstheme="minorHAnsi"/>
          <w:bCs/>
          <w:sz w:val="24"/>
          <w:szCs w:val="24"/>
        </w:rPr>
        <w:t xml:space="preserve">tematskom dijelu </w:t>
      </w:r>
      <w:r w:rsidRPr="003630D9">
        <w:rPr>
          <w:rFonts w:cstheme="minorHAnsi"/>
          <w:b/>
          <w:bCs/>
          <w:sz w:val="24"/>
          <w:szCs w:val="24"/>
        </w:rPr>
        <w:t>„Otvorenost“</w:t>
      </w:r>
      <w:r w:rsidRPr="0033148D">
        <w:rPr>
          <w:rFonts w:cstheme="minorHAnsi"/>
          <w:bCs/>
          <w:sz w:val="24"/>
          <w:szCs w:val="24"/>
        </w:rPr>
        <w:t xml:space="preserve"> naglasak je </w:t>
      </w:r>
      <w:r w:rsidR="000F3EE3" w:rsidRPr="0033148D">
        <w:rPr>
          <w:rFonts w:cstheme="minorHAnsi"/>
          <w:bCs/>
          <w:sz w:val="24"/>
          <w:szCs w:val="24"/>
        </w:rPr>
        <w:t xml:space="preserve">stavljen </w:t>
      </w:r>
      <w:r w:rsidRPr="0033148D">
        <w:rPr>
          <w:rFonts w:cstheme="minorHAnsi"/>
          <w:bCs/>
          <w:sz w:val="24"/>
          <w:szCs w:val="24"/>
        </w:rPr>
        <w:t>na aktivnosti otvaranja podataka, u cilju povećanja količine otvorenih podataka i povećanju ponovne uporabe otvorenih podataka. Time se nasto</w:t>
      </w:r>
      <w:r w:rsidR="000F3EE3" w:rsidRPr="0033148D">
        <w:rPr>
          <w:rFonts w:cstheme="minorHAnsi"/>
          <w:bCs/>
          <w:sz w:val="24"/>
          <w:szCs w:val="24"/>
        </w:rPr>
        <w:t>ja</w:t>
      </w:r>
      <w:r w:rsidRPr="0033148D">
        <w:rPr>
          <w:rFonts w:cstheme="minorHAnsi"/>
          <w:bCs/>
          <w:sz w:val="24"/>
          <w:szCs w:val="24"/>
        </w:rPr>
        <w:t xml:space="preserve">lo osigurati preduvjete i okvir za efikasno otvaranje podataka na razini državne uprave te potaknuti državna tijela na otvaranje podataka. </w:t>
      </w:r>
    </w:p>
    <w:p w14:paraId="36260DB6" w14:textId="2884FE11" w:rsidR="00BA343A" w:rsidRPr="0033148D" w:rsidRDefault="00BA343A" w:rsidP="0033148D">
      <w:pPr>
        <w:spacing w:after="120" w:line="240" w:lineRule="auto"/>
        <w:ind w:firstLine="708"/>
        <w:jc w:val="both"/>
        <w:rPr>
          <w:rFonts w:cstheme="minorHAnsi"/>
          <w:bCs/>
          <w:sz w:val="24"/>
          <w:szCs w:val="24"/>
        </w:rPr>
      </w:pPr>
      <w:r w:rsidRPr="0033148D">
        <w:rPr>
          <w:rFonts w:cstheme="minorHAnsi"/>
          <w:bCs/>
          <w:sz w:val="24"/>
          <w:szCs w:val="24"/>
        </w:rPr>
        <w:t xml:space="preserve">Tematska cjelina </w:t>
      </w:r>
      <w:r w:rsidRPr="003630D9">
        <w:rPr>
          <w:rFonts w:cstheme="minorHAnsi"/>
          <w:b/>
          <w:bCs/>
          <w:sz w:val="24"/>
          <w:szCs w:val="24"/>
        </w:rPr>
        <w:t>„Sudjelovanje građana/civilnoga društva u procesima izrade, provedbe i praćenja javnih politika</w:t>
      </w:r>
      <w:r w:rsidR="0026531F" w:rsidRPr="003630D9">
        <w:rPr>
          <w:rFonts w:cstheme="minorHAnsi"/>
          <w:b/>
          <w:bCs/>
          <w:sz w:val="24"/>
          <w:szCs w:val="24"/>
        </w:rPr>
        <w:t>“</w:t>
      </w:r>
      <w:r w:rsidRPr="0033148D">
        <w:rPr>
          <w:rFonts w:cstheme="minorHAnsi"/>
          <w:bCs/>
          <w:sz w:val="24"/>
          <w:szCs w:val="24"/>
        </w:rPr>
        <w:t xml:space="preserve"> stavila je naglasak na aktivnosti za unaprjeđenje provedbe savjetovanja s javnošću, unaprjeđenja sustava e-Savjetovanja te nastavak provedbe edukacija o provedbi savjetovanja. Mjera je uključila i promotivne aktivnosti te aktivnost ažuriranja baze savjetodavnih tijela.</w:t>
      </w:r>
    </w:p>
    <w:p w14:paraId="6CE8C70C" w14:textId="5A1E0209" w:rsidR="00BA343A" w:rsidRPr="0033148D" w:rsidRDefault="00BA343A" w:rsidP="0033148D">
      <w:pPr>
        <w:spacing w:after="120" w:line="240" w:lineRule="auto"/>
        <w:ind w:firstLine="708"/>
        <w:jc w:val="both"/>
        <w:rPr>
          <w:rFonts w:cstheme="minorHAnsi"/>
          <w:bCs/>
          <w:sz w:val="24"/>
          <w:szCs w:val="24"/>
        </w:rPr>
      </w:pPr>
      <w:r w:rsidRPr="0033148D">
        <w:rPr>
          <w:rFonts w:cstheme="minorHAnsi"/>
          <w:bCs/>
          <w:sz w:val="24"/>
          <w:szCs w:val="24"/>
        </w:rPr>
        <w:t xml:space="preserve">Tematska cjelina </w:t>
      </w:r>
      <w:r w:rsidRPr="003630D9">
        <w:rPr>
          <w:rFonts w:cstheme="minorHAnsi"/>
          <w:b/>
          <w:bCs/>
          <w:sz w:val="24"/>
          <w:szCs w:val="24"/>
        </w:rPr>
        <w:t>„Partnerstvo za otvorenu vlast na lokalnoj i područnoj (regionalnoj) razini</w:t>
      </w:r>
      <w:r w:rsidR="00F12609" w:rsidRPr="003630D9">
        <w:rPr>
          <w:rFonts w:cstheme="minorHAnsi"/>
          <w:b/>
          <w:bCs/>
          <w:sz w:val="24"/>
          <w:szCs w:val="24"/>
        </w:rPr>
        <w:t>“</w:t>
      </w:r>
      <w:r w:rsidRPr="0033148D">
        <w:rPr>
          <w:rFonts w:cstheme="minorHAnsi"/>
          <w:bCs/>
          <w:sz w:val="24"/>
          <w:szCs w:val="24"/>
        </w:rPr>
        <w:t xml:space="preserve"> nastojala je potaknuti „spuštanje“ aktivnosti inicijative Partnerstvo za otvorenu vlast u jedinice lokalne i područne (regionalne) samouprave, kroz pokretanje gradskih portala otvorenih podataka; uspostavu internetskog sustava za savjetovanje sa zainteresiranom javnošću na lokalnoj i područnoj (regionalnoj) razini te provedbu edukacije o inicijativi Partnerstvo za otvorenu vlast za predstavnike jedinica lokalne i područne (regionalne) samouprave. </w:t>
      </w:r>
    </w:p>
    <w:p w14:paraId="3928FF96" w14:textId="77777777" w:rsidR="00BA343A" w:rsidRPr="0033148D" w:rsidRDefault="00BA343A" w:rsidP="0033148D">
      <w:pPr>
        <w:spacing w:after="120" w:line="240" w:lineRule="auto"/>
        <w:ind w:firstLine="708"/>
        <w:jc w:val="both"/>
        <w:rPr>
          <w:rFonts w:cstheme="minorHAnsi"/>
          <w:bCs/>
          <w:sz w:val="24"/>
          <w:szCs w:val="24"/>
        </w:rPr>
      </w:pPr>
      <w:r w:rsidRPr="0033148D">
        <w:rPr>
          <w:rFonts w:cstheme="minorHAnsi"/>
          <w:bCs/>
          <w:sz w:val="24"/>
          <w:szCs w:val="24"/>
        </w:rPr>
        <w:t xml:space="preserve">Tematska cjelina </w:t>
      </w:r>
      <w:r w:rsidRPr="003630D9">
        <w:rPr>
          <w:rFonts w:cstheme="minorHAnsi"/>
          <w:b/>
          <w:bCs/>
          <w:sz w:val="24"/>
          <w:szCs w:val="24"/>
        </w:rPr>
        <w:t>„Održivost inicijative Partnerstvo za otvorenu vlast“</w:t>
      </w:r>
      <w:r w:rsidRPr="0033148D">
        <w:rPr>
          <w:rFonts w:cstheme="minorHAnsi"/>
          <w:bCs/>
          <w:sz w:val="24"/>
          <w:szCs w:val="24"/>
        </w:rPr>
        <w:t xml:space="preserve"> bila je usmjerena na osiguravanje održivosti vrijednosti i sadržaja inicijative Partnerstvo za otvorenu vlast, kroz povećanje informiranosti o ciljevima inicijative, s posebnim naglaskom na uključivanje tema u vezi s važnošću otvorenih podataka, transparentnosti, borbe protiv korupcije, osnaživanja građana i korištenja suvremenih informacijsko-komunikacijskih tehnologija u svrhu povećanja učinkovitosti i odgovornosti tijela javne vlasti te učinkovitijeg i inovativnijeg pružanja javnih usluga u obrazovni sustav.</w:t>
      </w:r>
    </w:p>
    <w:p w14:paraId="591D50FF" w14:textId="65E6F2DB" w:rsidR="001F7C5E" w:rsidRPr="0033148D" w:rsidRDefault="00637EB0" w:rsidP="003630D9">
      <w:pPr>
        <w:pStyle w:val="Default"/>
        <w:spacing w:after="120"/>
        <w:ind w:firstLine="708"/>
        <w:jc w:val="both"/>
        <w:rPr>
          <w:rFonts w:asciiTheme="minorHAnsi" w:hAnsiTheme="minorHAnsi" w:cstheme="minorHAnsi"/>
        </w:rPr>
      </w:pPr>
      <w:r w:rsidRPr="0033148D">
        <w:rPr>
          <w:rFonts w:asciiTheme="minorHAnsi" w:hAnsiTheme="minorHAnsi" w:cstheme="minorHAnsi"/>
        </w:rPr>
        <w:t xml:space="preserve">Napredak u provedbi Akcijskog plana te nacrt izvješća raspravljeni su na sjednicama Savjeta održanima 29. veljače i 12. srpnja 2024. godine, prije usvajanja Izvješća. </w:t>
      </w:r>
      <w:r w:rsidR="0064321B" w:rsidRPr="0033148D">
        <w:rPr>
          <w:rFonts w:asciiTheme="minorHAnsi" w:hAnsiTheme="minorHAnsi" w:cstheme="minorHAnsi"/>
        </w:rPr>
        <w:t xml:space="preserve">Utvrđeno je da je </w:t>
      </w:r>
      <w:r w:rsidR="009544B4" w:rsidRPr="003630D9">
        <w:rPr>
          <w:rFonts w:asciiTheme="minorHAnsi" w:hAnsiTheme="minorHAnsi" w:cstheme="minorHAnsi"/>
          <w:b/>
        </w:rPr>
        <w:t xml:space="preserve">Akcijski plan u većem dijelu </w:t>
      </w:r>
      <w:r w:rsidR="0064321B" w:rsidRPr="003630D9">
        <w:rPr>
          <w:rFonts w:asciiTheme="minorHAnsi" w:hAnsiTheme="minorHAnsi" w:cstheme="minorHAnsi"/>
          <w:b/>
        </w:rPr>
        <w:t xml:space="preserve">proveden </w:t>
      </w:r>
      <w:r w:rsidR="009544B4" w:rsidRPr="003630D9">
        <w:rPr>
          <w:rFonts w:asciiTheme="minorHAnsi" w:hAnsiTheme="minorHAnsi" w:cstheme="minorHAnsi"/>
          <w:b/>
        </w:rPr>
        <w:t>prema planu</w:t>
      </w:r>
      <w:r w:rsidR="009544B4" w:rsidRPr="0033148D">
        <w:rPr>
          <w:rFonts w:asciiTheme="minorHAnsi" w:hAnsiTheme="minorHAnsi" w:cstheme="minorHAnsi"/>
        </w:rPr>
        <w:t>, no za dio aktivnosti nisu isp</w:t>
      </w:r>
      <w:r w:rsidR="00C77205" w:rsidRPr="0033148D">
        <w:rPr>
          <w:rFonts w:asciiTheme="minorHAnsi" w:hAnsiTheme="minorHAnsi" w:cstheme="minorHAnsi"/>
        </w:rPr>
        <w:t xml:space="preserve">unjeni svi pokazatelji provedbe. </w:t>
      </w:r>
      <w:r w:rsidR="009D7B93" w:rsidRPr="0033148D">
        <w:rPr>
          <w:rFonts w:asciiTheme="minorHAnsi" w:hAnsiTheme="minorHAnsi" w:cstheme="minorHAnsi"/>
        </w:rPr>
        <w:t>Od ukupno 47</w:t>
      </w:r>
      <w:r w:rsidR="009544B4" w:rsidRPr="0033148D">
        <w:rPr>
          <w:rFonts w:asciiTheme="minorHAnsi" w:hAnsiTheme="minorHAnsi" w:cstheme="minorHAnsi"/>
        </w:rPr>
        <w:t xml:space="preserve"> aktivnosti, u potpunosti je proveden</w:t>
      </w:r>
      <w:r w:rsidR="0018572A">
        <w:rPr>
          <w:rFonts w:asciiTheme="minorHAnsi" w:hAnsiTheme="minorHAnsi" w:cstheme="minorHAnsi"/>
        </w:rPr>
        <w:t>a</w:t>
      </w:r>
      <w:r w:rsidR="009544B4" w:rsidRPr="0033148D">
        <w:rPr>
          <w:rFonts w:asciiTheme="minorHAnsi" w:hAnsiTheme="minorHAnsi" w:cstheme="minorHAnsi"/>
        </w:rPr>
        <w:t xml:space="preserve"> </w:t>
      </w:r>
      <w:r w:rsidR="00D424BA" w:rsidRPr="0033148D">
        <w:rPr>
          <w:rFonts w:asciiTheme="minorHAnsi" w:hAnsiTheme="minorHAnsi" w:cstheme="minorHAnsi"/>
        </w:rPr>
        <w:t>3</w:t>
      </w:r>
      <w:r w:rsidR="0018572A">
        <w:rPr>
          <w:rFonts w:asciiTheme="minorHAnsi" w:hAnsiTheme="minorHAnsi" w:cstheme="minorHAnsi"/>
        </w:rPr>
        <w:t>1</w:t>
      </w:r>
      <w:r w:rsidR="00D424BA" w:rsidRPr="0033148D">
        <w:rPr>
          <w:rFonts w:asciiTheme="minorHAnsi" w:hAnsiTheme="minorHAnsi" w:cstheme="minorHAnsi"/>
        </w:rPr>
        <w:t xml:space="preserve"> aktivnost (6</w:t>
      </w:r>
      <w:r w:rsidR="0018572A">
        <w:rPr>
          <w:rFonts w:asciiTheme="minorHAnsi" w:hAnsiTheme="minorHAnsi" w:cstheme="minorHAnsi"/>
        </w:rPr>
        <w:t>6</w:t>
      </w:r>
      <w:r w:rsidR="00D424BA" w:rsidRPr="0033148D">
        <w:rPr>
          <w:rFonts w:asciiTheme="minorHAnsi" w:hAnsiTheme="minorHAnsi" w:cstheme="minorHAnsi"/>
        </w:rPr>
        <w:t xml:space="preserve">%), dok je u znatnoj mjeri ostvareno </w:t>
      </w:r>
      <w:r w:rsidR="0018572A">
        <w:rPr>
          <w:rFonts w:asciiTheme="minorHAnsi" w:hAnsiTheme="minorHAnsi" w:cstheme="minorHAnsi"/>
        </w:rPr>
        <w:t>7</w:t>
      </w:r>
      <w:r w:rsidR="00D424BA" w:rsidRPr="0033148D">
        <w:rPr>
          <w:rFonts w:asciiTheme="minorHAnsi" w:hAnsiTheme="minorHAnsi" w:cstheme="minorHAnsi"/>
        </w:rPr>
        <w:t xml:space="preserve"> aktivnosti (1</w:t>
      </w:r>
      <w:r w:rsidR="0018572A">
        <w:rPr>
          <w:rFonts w:asciiTheme="minorHAnsi" w:hAnsiTheme="minorHAnsi" w:cstheme="minorHAnsi"/>
        </w:rPr>
        <w:t>5</w:t>
      </w:r>
      <w:r w:rsidR="00D424BA" w:rsidRPr="0033148D">
        <w:rPr>
          <w:rFonts w:asciiTheme="minorHAnsi" w:hAnsiTheme="minorHAnsi" w:cstheme="minorHAnsi"/>
        </w:rPr>
        <w:t xml:space="preserve">%). </w:t>
      </w:r>
      <w:r w:rsidR="001F4C5B" w:rsidRPr="0033148D">
        <w:rPr>
          <w:rFonts w:asciiTheme="minorHAnsi" w:hAnsiTheme="minorHAnsi" w:cstheme="minorHAnsi"/>
        </w:rPr>
        <w:t>Preostalih 9</w:t>
      </w:r>
      <w:r w:rsidR="00D424BA" w:rsidRPr="0033148D">
        <w:rPr>
          <w:rFonts w:asciiTheme="minorHAnsi" w:hAnsiTheme="minorHAnsi" w:cstheme="minorHAnsi"/>
        </w:rPr>
        <w:t xml:space="preserve"> aktivnosti (1</w:t>
      </w:r>
      <w:r w:rsidR="00F12609">
        <w:rPr>
          <w:rFonts w:asciiTheme="minorHAnsi" w:hAnsiTheme="minorHAnsi" w:cstheme="minorHAnsi"/>
        </w:rPr>
        <w:t>9</w:t>
      </w:r>
      <w:r w:rsidR="00D424BA" w:rsidRPr="0033148D">
        <w:rPr>
          <w:rFonts w:asciiTheme="minorHAnsi" w:hAnsiTheme="minorHAnsi" w:cstheme="minorHAnsi"/>
        </w:rPr>
        <w:t>%) ostvareno je u manjoj mjeri</w:t>
      </w:r>
      <w:r w:rsidR="006130CC">
        <w:rPr>
          <w:rFonts w:asciiTheme="minorHAnsi" w:hAnsiTheme="minorHAnsi" w:cstheme="minorHAnsi"/>
        </w:rPr>
        <w:t xml:space="preserve"> </w:t>
      </w:r>
      <w:r w:rsidR="006130CC" w:rsidRPr="001E257F">
        <w:rPr>
          <w:rFonts w:asciiTheme="minorHAnsi" w:hAnsiTheme="minorHAnsi" w:cstheme="minorHAnsi"/>
        </w:rPr>
        <w:t>ili se početak provedbe još očekuje</w:t>
      </w:r>
      <w:r w:rsidR="001F4C5B" w:rsidRPr="0033148D">
        <w:rPr>
          <w:rFonts w:asciiTheme="minorHAnsi" w:hAnsiTheme="minorHAnsi" w:cstheme="minorHAnsi"/>
        </w:rPr>
        <w:t>.</w:t>
      </w:r>
    </w:p>
    <w:p w14:paraId="5DDA9196" w14:textId="2A600CF0" w:rsidR="001F7C5E" w:rsidRPr="0033148D" w:rsidRDefault="0084000C" w:rsidP="0033148D">
      <w:pPr>
        <w:pStyle w:val="Default"/>
        <w:spacing w:after="120"/>
        <w:ind w:firstLine="708"/>
        <w:jc w:val="both"/>
        <w:rPr>
          <w:rFonts w:asciiTheme="minorHAnsi" w:hAnsiTheme="minorHAnsi" w:cstheme="minorHAnsi"/>
        </w:rPr>
      </w:pPr>
      <w:r w:rsidRPr="003630D9">
        <w:rPr>
          <w:rFonts w:asciiTheme="minorHAnsi" w:hAnsiTheme="minorHAnsi" w:cstheme="minorHAnsi"/>
          <w:b/>
        </w:rPr>
        <w:t xml:space="preserve">Aktivnosti čija </w:t>
      </w:r>
      <w:r w:rsidR="006227E2">
        <w:rPr>
          <w:rFonts w:asciiTheme="minorHAnsi" w:hAnsiTheme="minorHAnsi" w:cstheme="minorHAnsi"/>
          <w:b/>
        </w:rPr>
        <w:t xml:space="preserve">se </w:t>
      </w:r>
      <w:r w:rsidRPr="003630D9">
        <w:rPr>
          <w:rFonts w:asciiTheme="minorHAnsi" w:hAnsiTheme="minorHAnsi" w:cstheme="minorHAnsi"/>
          <w:b/>
        </w:rPr>
        <w:t xml:space="preserve">provedba </w:t>
      </w:r>
      <w:r w:rsidR="006227E2">
        <w:rPr>
          <w:rFonts w:asciiTheme="minorHAnsi" w:hAnsiTheme="minorHAnsi" w:cstheme="minorHAnsi"/>
          <w:b/>
        </w:rPr>
        <w:t>očekuje</w:t>
      </w:r>
      <w:r w:rsidR="006227E2" w:rsidRPr="003630D9">
        <w:rPr>
          <w:rFonts w:asciiTheme="minorHAnsi" w:hAnsiTheme="minorHAnsi" w:cstheme="minorHAnsi"/>
          <w:b/>
        </w:rPr>
        <w:t xml:space="preserve"> </w:t>
      </w:r>
      <w:r w:rsidRPr="0033148D">
        <w:rPr>
          <w:rFonts w:asciiTheme="minorHAnsi" w:hAnsiTheme="minorHAnsi" w:cstheme="minorHAnsi"/>
        </w:rPr>
        <w:t xml:space="preserve">dio su </w:t>
      </w:r>
      <w:r w:rsidR="00703B18" w:rsidRPr="001E257F">
        <w:rPr>
          <w:rFonts w:asciiTheme="minorHAnsi" w:hAnsiTheme="minorHAnsi" w:cstheme="minorHAnsi"/>
          <w:b/>
        </w:rPr>
        <w:t>mjere 5</w:t>
      </w:r>
      <w:r w:rsidR="00703B18" w:rsidRPr="0033148D">
        <w:rPr>
          <w:rFonts w:asciiTheme="minorHAnsi" w:hAnsiTheme="minorHAnsi" w:cstheme="minorHAnsi"/>
        </w:rPr>
        <w:t xml:space="preserve"> </w:t>
      </w:r>
      <w:r w:rsidR="00394550">
        <w:rPr>
          <w:rFonts w:asciiTheme="minorHAnsi" w:hAnsiTheme="minorHAnsi" w:cstheme="minorHAnsi"/>
        </w:rPr>
        <w:t>–</w:t>
      </w:r>
      <w:r w:rsidR="00703B18" w:rsidRPr="0033148D">
        <w:rPr>
          <w:rFonts w:asciiTheme="minorHAnsi" w:hAnsiTheme="minorHAnsi" w:cstheme="minorHAnsi"/>
        </w:rPr>
        <w:t xml:space="preserve"> Unaprjeđenje transparentnosti i financiranja referendumske aktivnosti: Uspostava Evidencije referendumskih inicijativa (aktivnost 5.2) i Provoditi edukaciju sudionika referendumske aktivnosti s ciljem upoznavanja sudionika s odredbama Zakona o financiranju </w:t>
      </w:r>
      <w:r w:rsidR="006227E2">
        <w:rPr>
          <w:rFonts w:asciiTheme="minorHAnsi" w:hAnsiTheme="minorHAnsi" w:cstheme="minorHAnsi"/>
        </w:rPr>
        <w:t xml:space="preserve">političkih aktivnosti, izborne promidžbe i </w:t>
      </w:r>
      <w:r w:rsidR="00703B18" w:rsidRPr="0033148D">
        <w:rPr>
          <w:rFonts w:asciiTheme="minorHAnsi" w:hAnsiTheme="minorHAnsi" w:cstheme="minorHAnsi"/>
        </w:rPr>
        <w:t xml:space="preserve">referenduma </w:t>
      </w:r>
      <w:r w:rsidRPr="0033148D">
        <w:rPr>
          <w:rFonts w:asciiTheme="minorHAnsi" w:hAnsiTheme="minorHAnsi" w:cstheme="minorHAnsi"/>
        </w:rPr>
        <w:t>(</w:t>
      </w:r>
      <w:r w:rsidR="00703B18" w:rsidRPr="0033148D">
        <w:rPr>
          <w:rFonts w:asciiTheme="minorHAnsi" w:hAnsiTheme="minorHAnsi" w:cstheme="minorHAnsi"/>
        </w:rPr>
        <w:t>aktivnost 5.3)</w:t>
      </w:r>
      <w:r w:rsidRPr="0033148D">
        <w:rPr>
          <w:rFonts w:asciiTheme="minorHAnsi" w:hAnsiTheme="minorHAnsi" w:cstheme="minorHAnsi"/>
        </w:rPr>
        <w:t>. Preduvjet za njihovu provedbu bila je izmjena zakona kojim se propisuje provedba referenduma, a kojim bi se propisivao način uspostave i vođenja evidencije, odnosno jasnije regulirala pitanja transparentnosti financiranja referendumske aktivnosti.</w:t>
      </w:r>
    </w:p>
    <w:p w14:paraId="2510018F" w14:textId="06B9C960" w:rsidR="00905AC4" w:rsidRPr="0033148D" w:rsidRDefault="0084000C" w:rsidP="0033148D">
      <w:pPr>
        <w:spacing w:after="120" w:line="240" w:lineRule="auto"/>
        <w:ind w:firstLine="708"/>
        <w:jc w:val="both"/>
        <w:rPr>
          <w:rFonts w:cstheme="minorHAnsi"/>
          <w:sz w:val="24"/>
          <w:szCs w:val="24"/>
        </w:rPr>
      </w:pPr>
      <w:r w:rsidRPr="003630D9">
        <w:rPr>
          <w:rFonts w:cstheme="minorHAnsi"/>
          <w:b/>
          <w:color w:val="000000"/>
          <w:sz w:val="24"/>
          <w:szCs w:val="24"/>
        </w:rPr>
        <w:t xml:space="preserve">Aktivnosti provedene u manjoj mjeri </w:t>
      </w:r>
      <w:r w:rsidRPr="0033148D">
        <w:rPr>
          <w:rFonts w:cstheme="minorHAnsi"/>
          <w:color w:val="000000"/>
          <w:sz w:val="24"/>
          <w:szCs w:val="24"/>
        </w:rPr>
        <w:t xml:space="preserve">dio su </w:t>
      </w:r>
      <w:r w:rsidRPr="003630D9">
        <w:rPr>
          <w:rFonts w:cstheme="minorHAnsi"/>
          <w:b/>
          <w:color w:val="000000"/>
          <w:sz w:val="24"/>
          <w:szCs w:val="24"/>
        </w:rPr>
        <w:t>mjere 6</w:t>
      </w:r>
      <w:r w:rsidRPr="0033148D">
        <w:rPr>
          <w:rFonts w:cstheme="minorHAnsi"/>
          <w:color w:val="000000"/>
          <w:sz w:val="24"/>
          <w:szCs w:val="24"/>
        </w:rPr>
        <w:t xml:space="preserve"> </w:t>
      </w:r>
      <w:r w:rsidR="00394550">
        <w:rPr>
          <w:rFonts w:cstheme="minorHAnsi"/>
          <w:color w:val="000000"/>
          <w:sz w:val="24"/>
          <w:szCs w:val="24"/>
        </w:rPr>
        <w:t>–</w:t>
      </w:r>
      <w:r w:rsidRPr="0033148D">
        <w:rPr>
          <w:rFonts w:cstheme="minorHAnsi"/>
          <w:color w:val="000000"/>
          <w:sz w:val="24"/>
          <w:szCs w:val="24"/>
        </w:rPr>
        <w:t xml:space="preserve"> </w:t>
      </w:r>
      <w:r w:rsidR="0084262E" w:rsidRPr="0033148D">
        <w:rPr>
          <w:rFonts w:cstheme="minorHAnsi"/>
          <w:color w:val="000000"/>
          <w:sz w:val="24"/>
          <w:szCs w:val="24"/>
        </w:rPr>
        <w:t xml:space="preserve">Unaprjeđenje transparentnosti djelovanja i financiranja programa i projekata organizacija civilnoga društva: </w:t>
      </w:r>
      <w:r w:rsidR="006227E2">
        <w:rPr>
          <w:rFonts w:cstheme="minorHAnsi"/>
          <w:color w:val="000000"/>
          <w:sz w:val="24"/>
          <w:szCs w:val="24"/>
        </w:rPr>
        <w:t>I</w:t>
      </w:r>
      <w:r w:rsidR="0084262E" w:rsidRPr="0033148D">
        <w:rPr>
          <w:rFonts w:cstheme="minorHAnsi"/>
          <w:color w:val="000000"/>
          <w:sz w:val="24"/>
          <w:szCs w:val="24"/>
        </w:rPr>
        <w:t>zrad</w:t>
      </w:r>
      <w:r w:rsidR="006227E2">
        <w:rPr>
          <w:rFonts w:cstheme="minorHAnsi"/>
          <w:color w:val="000000"/>
          <w:sz w:val="24"/>
          <w:szCs w:val="24"/>
        </w:rPr>
        <w:t>iti</w:t>
      </w:r>
      <w:r w:rsidR="0084262E" w:rsidRPr="0033148D">
        <w:rPr>
          <w:rFonts w:cstheme="minorHAnsi"/>
          <w:color w:val="000000"/>
          <w:sz w:val="24"/>
          <w:szCs w:val="24"/>
        </w:rPr>
        <w:t xml:space="preserve"> nov</w:t>
      </w:r>
      <w:r w:rsidR="006227E2">
        <w:rPr>
          <w:rFonts w:cstheme="minorHAnsi"/>
          <w:color w:val="000000"/>
          <w:sz w:val="24"/>
          <w:szCs w:val="24"/>
        </w:rPr>
        <w:t>i</w:t>
      </w:r>
      <w:r w:rsidR="0084262E" w:rsidRPr="0033148D">
        <w:rPr>
          <w:rFonts w:cstheme="minorHAnsi"/>
          <w:color w:val="000000"/>
          <w:sz w:val="24"/>
          <w:szCs w:val="24"/>
        </w:rPr>
        <w:t xml:space="preserve"> informacijsk</w:t>
      </w:r>
      <w:r w:rsidR="006227E2">
        <w:rPr>
          <w:rFonts w:cstheme="minorHAnsi"/>
          <w:color w:val="000000"/>
          <w:sz w:val="24"/>
          <w:szCs w:val="24"/>
        </w:rPr>
        <w:t>i</w:t>
      </w:r>
      <w:r w:rsidR="0084262E" w:rsidRPr="0033148D">
        <w:rPr>
          <w:rFonts w:cstheme="minorHAnsi"/>
          <w:color w:val="000000"/>
          <w:sz w:val="24"/>
          <w:szCs w:val="24"/>
        </w:rPr>
        <w:t xml:space="preserve"> sustav za praćenje i vrednovanje dodjele financijskih sredstava udrugama koje provode programe i/ili projekte od interesa za opće dobro (aktivnost 6.1</w:t>
      </w:r>
      <w:r w:rsidR="004E2604" w:rsidRPr="0033148D">
        <w:rPr>
          <w:rFonts w:cstheme="minorHAnsi"/>
          <w:color w:val="000000"/>
          <w:sz w:val="24"/>
          <w:szCs w:val="24"/>
        </w:rPr>
        <w:t>, za koju su obavljene pripremne radnje)</w:t>
      </w:r>
      <w:r w:rsidR="0084262E" w:rsidRPr="0033148D">
        <w:rPr>
          <w:rFonts w:cstheme="minorHAnsi"/>
          <w:color w:val="000000"/>
          <w:sz w:val="24"/>
          <w:szCs w:val="24"/>
        </w:rPr>
        <w:t xml:space="preserve"> te Prov</w:t>
      </w:r>
      <w:r w:rsidR="006227E2">
        <w:rPr>
          <w:rFonts w:cstheme="minorHAnsi"/>
          <w:color w:val="000000"/>
          <w:sz w:val="24"/>
          <w:szCs w:val="24"/>
        </w:rPr>
        <w:t xml:space="preserve">oditi </w:t>
      </w:r>
      <w:r w:rsidR="0084262E" w:rsidRPr="0033148D">
        <w:rPr>
          <w:rFonts w:cstheme="minorHAnsi"/>
          <w:color w:val="000000"/>
          <w:sz w:val="24"/>
          <w:szCs w:val="24"/>
        </w:rPr>
        <w:t xml:space="preserve">edukacije organizacija civilnoga društva o postupcima javne nabave za </w:t>
      </w:r>
      <w:proofErr w:type="spellStart"/>
      <w:r w:rsidR="0084262E" w:rsidRPr="0033148D">
        <w:rPr>
          <w:rFonts w:cstheme="minorHAnsi"/>
          <w:color w:val="000000"/>
          <w:sz w:val="24"/>
          <w:szCs w:val="24"/>
        </w:rPr>
        <w:t>neobveznike</w:t>
      </w:r>
      <w:proofErr w:type="spellEnd"/>
      <w:r w:rsidR="0084262E" w:rsidRPr="0033148D">
        <w:rPr>
          <w:rFonts w:cstheme="minorHAnsi"/>
          <w:color w:val="000000"/>
          <w:sz w:val="24"/>
          <w:szCs w:val="24"/>
        </w:rPr>
        <w:t xml:space="preserve"> javne nabave s ciljem povećanja transparentnosti korištenja javnih sredstava (</w:t>
      </w:r>
      <w:r w:rsidR="006227E2">
        <w:rPr>
          <w:rFonts w:cstheme="minorHAnsi"/>
          <w:color w:val="000000"/>
          <w:sz w:val="24"/>
          <w:szCs w:val="24"/>
        </w:rPr>
        <w:t xml:space="preserve">aktivnost </w:t>
      </w:r>
      <w:r w:rsidR="0084262E" w:rsidRPr="0033148D">
        <w:rPr>
          <w:rFonts w:cstheme="minorHAnsi"/>
          <w:color w:val="000000"/>
          <w:sz w:val="24"/>
          <w:szCs w:val="24"/>
        </w:rPr>
        <w:t>6.4</w:t>
      </w:r>
      <w:r w:rsidR="006227E2">
        <w:rPr>
          <w:rFonts w:cstheme="minorHAnsi"/>
          <w:color w:val="000000"/>
          <w:sz w:val="24"/>
          <w:szCs w:val="24"/>
        </w:rPr>
        <w:t>,</w:t>
      </w:r>
      <w:r w:rsidR="004E2604" w:rsidRPr="0033148D">
        <w:rPr>
          <w:rFonts w:cstheme="minorHAnsi"/>
          <w:color w:val="000000"/>
          <w:sz w:val="24"/>
          <w:szCs w:val="24"/>
        </w:rPr>
        <w:t xml:space="preserve"> koja je </w:t>
      </w:r>
      <w:r w:rsidR="005B5757" w:rsidRPr="0033148D">
        <w:rPr>
          <w:rFonts w:cstheme="minorHAnsi"/>
          <w:color w:val="000000"/>
          <w:sz w:val="24"/>
          <w:szCs w:val="24"/>
        </w:rPr>
        <w:t xml:space="preserve">provedena </w:t>
      </w:r>
      <w:r w:rsidR="001F23BD" w:rsidRPr="0033148D">
        <w:rPr>
          <w:rFonts w:cstheme="minorHAnsi"/>
          <w:color w:val="000000"/>
          <w:sz w:val="24"/>
          <w:szCs w:val="24"/>
        </w:rPr>
        <w:t>u manjoj mjeri, budući da tijekom provedbe Akcijskog plana nositelj aktivnosti nije ugovarao projekte za čije korisnike je bilo predviđeno održavanje edukacija</w:t>
      </w:r>
      <w:r w:rsidR="006227E2">
        <w:rPr>
          <w:rFonts w:cstheme="minorHAnsi"/>
          <w:color w:val="000000"/>
          <w:sz w:val="24"/>
          <w:szCs w:val="24"/>
        </w:rPr>
        <w:t>)</w:t>
      </w:r>
      <w:r w:rsidR="001F23BD" w:rsidRPr="0033148D">
        <w:rPr>
          <w:rFonts w:cstheme="minorHAnsi"/>
          <w:color w:val="000000"/>
          <w:sz w:val="24"/>
          <w:szCs w:val="24"/>
        </w:rPr>
        <w:t xml:space="preserve">. Umjesto edukacija na stranicama </w:t>
      </w:r>
      <w:r w:rsidR="001F23BD" w:rsidRPr="0033148D">
        <w:rPr>
          <w:rFonts w:cstheme="minorHAnsi"/>
          <w:color w:val="000000"/>
          <w:sz w:val="24"/>
          <w:szCs w:val="24"/>
        </w:rPr>
        <w:lastRenderedPageBreak/>
        <w:t xml:space="preserve">Ureda za udruge objavljena su pisana </w:t>
      </w:r>
      <w:hyperlink r:id="rId14" w:history="1">
        <w:r w:rsidR="001F23BD" w:rsidRPr="0033148D">
          <w:rPr>
            <w:rFonts w:cstheme="minorHAnsi"/>
            <w:color w:val="000000"/>
            <w:sz w:val="24"/>
            <w:szCs w:val="24"/>
          </w:rPr>
          <w:t xml:space="preserve">Pravila o provedbi postupaka nabava za </w:t>
        </w:r>
        <w:proofErr w:type="spellStart"/>
        <w:r w:rsidR="001F23BD" w:rsidRPr="0033148D">
          <w:rPr>
            <w:rFonts w:cstheme="minorHAnsi"/>
            <w:color w:val="000000"/>
            <w:sz w:val="24"/>
            <w:szCs w:val="24"/>
          </w:rPr>
          <w:t>neobveznike</w:t>
        </w:r>
        <w:proofErr w:type="spellEnd"/>
        <w:r w:rsidR="001F23BD" w:rsidRPr="0033148D">
          <w:rPr>
            <w:rFonts w:cstheme="minorHAnsi"/>
            <w:color w:val="000000"/>
            <w:sz w:val="24"/>
            <w:szCs w:val="24"/>
          </w:rPr>
          <w:t xml:space="preserve"> Zakona o javnoj nabavi.</w:t>
        </w:r>
      </w:hyperlink>
      <w:r w:rsidR="001F23BD" w:rsidRPr="0033148D">
        <w:rPr>
          <w:rFonts w:cstheme="minorHAnsi"/>
          <w:color w:val="000000"/>
          <w:sz w:val="24"/>
          <w:szCs w:val="24"/>
        </w:rPr>
        <w:t xml:space="preserve"> </w:t>
      </w:r>
      <w:r w:rsidR="005B5757" w:rsidRPr="0033148D">
        <w:rPr>
          <w:rFonts w:cstheme="minorHAnsi"/>
          <w:color w:val="000000"/>
          <w:sz w:val="24"/>
          <w:szCs w:val="24"/>
        </w:rPr>
        <w:t xml:space="preserve">Do kašnjenja u provedbi </w:t>
      </w:r>
      <w:r w:rsidR="005B5757" w:rsidRPr="003630D9">
        <w:rPr>
          <w:rFonts w:cstheme="minorHAnsi"/>
          <w:b/>
          <w:color w:val="000000"/>
          <w:sz w:val="24"/>
          <w:szCs w:val="24"/>
        </w:rPr>
        <w:t>mjere 8</w:t>
      </w:r>
      <w:r w:rsidR="005B5757" w:rsidRPr="0033148D">
        <w:rPr>
          <w:rFonts w:cstheme="minorHAnsi"/>
          <w:color w:val="000000"/>
          <w:sz w:val="24"/>
          <w:szCs w:val="24"/>
        </w:rPr>
        <w:t xml:space="preserve"> </w:t>
      </w:r>
      <w:r w:rsidR="00394550">
        <w:rPr>
          <w:rFonts w:cstheme="minorHAnsi"/>
          <w:color w:val="000000"/>
          <w:sz w:val="24"/>
          <w:szCs w:val="24"/>
        </w:rPr>
        <w:t>–</w:t>
      </w:r>
      <w:r w:rsidR="005B5757" w:rsidRPr="0033148D">
        <w:rPr>
          <w:rFonts w:cstheme="minorHAnsi"/>
          <w:color w:val="000000"/>
          <w:sz w:val="24"/>
          <w:szCs w:val="24"/>
        </w:rPr>
        <w:t xml:space="preserve"> Unaprjeđenje</w:t>
      </w:r>
      <w:r w:rsidR="00394550">
        <w:rPr>
          <w:rFonts w:cstheme="minorHAnsi"/>
          <w:color w:val="000000"/>
          <w:sz w:val="24"/>
          <w:szCs w:val="24"/>
        </w:rPr>
        <w:t xml:space="preserve"> </w:t>
      </w:r>
      <w:r w:rsidR="005B5757" w:rsidRPr="0033148D">
        <w:rPr>
          <w:rFonts w:cstheme="minorHAnsi"/>
          <w:color w:val="000000"/>
          <w:sz w:val="24"/>
          <w:szCs w:val="24"/>
        </w:rPr>
        <w:t xml:space="preserve">normativnog okvira za medije, odnosno aktivnosti </w:t>
      </w:r>
      <w:r w:rsidR="006227E2">
        <w:rPr>
          <w:rFonts w:cstheme="minorHAnsi"/>
          <w:color w:val="000000"/>
          <w:sz w:val="24"/>
          <w:szCs w:val="24"/>
        </w:rPr>
        <w:t xml:space="preserve">8.1 – </w:t>
      </w:r>
      <w:r w:rsidR="005B5757" w:rsidRPr="0033148D">
        <w:rPr>
          <w:rFonts w:cstheme="minorHAnsi"/>
          <w:color w:val="000000"/>
          <w:sz w:val="24"/>
          <w:szCs w:val="24"/>
        </w:rPr>
        <w:t>Izrad</w:t>
      </w:r>
      <w:r w:rsidR="006227E2">
        <w:rPr>
          <w:rFonts w:cstheme="minorHAnsi"/>
          <w:color w:val="000000"/>
          <w:sz w:val="24"/>
          <w:szCs w:val="24"/>
        </w:rPr>
        <w:t xml:space="preserve">iti </w:t>
      </w:r>
      <w:r w:rsidR="005B5757" w:rsidRPr="0033148D">
        <w:rPr>
          <w:rFonts w:cstheme="minorHAnsi"/>
          <w:color w:val="000000"/>
          <w:sz w:val="24"/>
          <w:szCs w:val="24"/>
        </w:rPr>
        <w:t xml:space="preserve">Zakon o medijima i </w:t>
      </w:r>
      <w:r w:rsidR="006227E2" w:rsidRPr="0033148D">
        <w:rPr>
          <w:rFonts w:cstheme="minorHAnsi"/>
          <w:color w:val="000000"/>
          <w:sz w:val="24"/>
          <w:szCs w:val="24"/>
        </w:rPr>
        <w:t>aktivnost</w:t>
      </w:r>
      <w:r w:rsidR="006227E2">
        <w:rPr>
          <w:rFonts w:cstheme="minorHAnsi"/>
          <w:color w:val="000000"/>
          <w:sz w:val="24"/>
          <w:szCs w:val="24"/>
        </w:rPr>
        <w:t>i</w:t>
      </w:r>
      <w:r w:rsidR="006227E2" w:rsidRPr="0033148D">
        <w:rPr>
          <w:rFonts w:cstheme="minorHAnsi"/>
          <w:color w:val="000000"/>
          <w:sz w:val="24"/>
          <w:szCs w:val="24"/>
        </w:rPr>
        <w:t xml:space="preserve"> 8.2</w:t>
      </w:r>
      <w:r w:rsidR="006227E2">
        <w:rPr>
          <w:rFonts w:cstheme="minorHAnsi"/>
          <w:color w:val="000000"/>
          <w:sz w:val="24"/>
          <w:szCs w:val="24"/>
        </w:rPr>
        <w:t xml:space="preserve"> -</w:t>
      </w:r>
      <w:r w:rsidR="006227E2" w:rsidRPr="0033148D">
        <w:rPr>
          <w:rFonts w:cstheme="minorHAnsi"/>
          <w:color w:val="000000"/>
          <w:sz w:val="24"/>
          <w:szCs w:val="24"/>
        </w:rPr>
        <w:t xml:space="preserve"> </w:t>
      </w:r>
      <w:r w:rsidR="001F23BD" w:rsidRPr="0033148D">
        <w:rPr>
          <w:rFonts w:cstheme="minorHAnsi"/>
          <w:color w:val="000000"/>
          <w:sz w:val="24"/>
          <w:szCs w:val="24"/>
        </w:rPr>
        <w:t>Unapr</w:t>
      </w:r>
      <w:r w:rsidR="006227E2">
        <w:rPr>
          <w:rFonts w:cstheme="minorHAnsi"/>
          <w:color w:val="000000"/>
          <w:sz w:val="24"/>
          <w:szCs w:val="24"/>
        </w:rPr>
        <w:t>i</w:t>
      </w:r>
      <w:r w:rsidR="001F23BD" w:rsidRPr="0033148D">
        <w:rPr>
          <w:rFonts w:cstheme="minorHAnsi"/>
          <w:color w:val="000000"/>
          <w:sz w:val="24"/>
          <w:szCs w:val="24"/>
        </w:rPr>
        <w:t>je</w:t>
      </w:r>
      <w:r w:rsidR="006227E2">
        <w:rPr>
          <w:rFonts w:cstheme="minorHAnsi"/>
          <w:color w:val="000000"/>
          <w:sz w:val="24"/>
          <w:szCs w:val="24"/>
        </w:rPr>
        <w:t>diti</w:t>
      </w:r>
      <w:r w:rsidR="001F23BD" w:rsidRPr="0033148D">
        <w:rPr>
          <w:rFonts w:cstheme="minorHAnsi"/>
          <w:color w:val="000000"/>
          <w:sz w:val="24"/>
          <w:szCs w:val="24"/>
        </w:rPr>
        <w:t xml:space="preserve"> zakonsk</w:t>
      </w:r>
      <w:r w:rsidR="006227E2">
        <w:rPr>
          <w:rFonts w:cstheme="minorHAnsi"/>
          <w:color w:val="000000"/>
          <w:sz w:val="24"/>
          <w:szCs w:val="24"/>
        </w:rPr>
        <w:t>e</w:t>
      </w:r>
      <w:r w:rsidR="001F23BD" w:rsidRPr="0033148D">
        <w:rPr>
          <w:rFonts w:cstheme="minorHAnsi"/>
          <w:color w:val="000000"/>
          <w:sz w:val="24"/>
          <w:szCs w:val="24"/>
        </w:rPr>
        <w:t xml:space="preserve"> odredb</w:t>
      </w:r>
      <w:r w:rsidR="006227E2">
        <w:rPr>
          <w:rFonts w:cstheme="minorHAnsi"/>
          <w:color w:val="000000"/>
          <w:sz w:val="24"/>
          <w:szCs w:val="24"/>
        </w:rPr>
        <w:t>e</w:t>
      </w:r>
      <w:r w:rsidR="001F23BD" w:rsidRPr="0033148D">
        <w:rPr>
          <w:rFonts w:cstheme="minorHAnsi"/>
          <w:color w:val="000000"/>
          <w:sz w:val="24"/>
          <w:szCs w:val="24"/>
        </w:rPr>
        <w:t xml:space="preserve"> u vezi s objavom vlasništva medija i izvora financiranja</w:t>
      </w:r>
      <w:r w:rsidR="005F64BA">
        <w:rPr>
          <w:rFonts w:cstheme="minorHAnsi"/>
          <w:color w:val="000000"/>
          <w:sz w:val="24"/>
          <w:szCs w:val="24"/>
        </w:rPr>
        <w:t>,</w:t>
      </w:r>
      <w:r w:rsidR="001F23BD" w:rsidRPr="0033148D">
        <w:rPr>
          <w:rFonts w:cstheme="minorHAnsi"/>
          <w:color w:val="000000"/>
          <w:sz w:val="24"/>
          <w:szCs w:val="24"/>
        </w:rPr>
        <w:t xml:space="preserve"> </w:t>
      </w:r>
      <w:r w:rsidR="005B5757" w:rsidRPr="0033148D">
        <w:rPr>
          <w:rFonts w:cstheme="minorHAnsi"/>
          <w:color w:val="000000"/>
          <w:sz w:val="24"/>
          <w:szCs w:val="24"/>
        </w:rPr>
        <w:t>došlo je zbog rada na Europskom aktu o slobodi medija, koji je stupio na snagu 7. svibnja 2024.</w:t>
      </w:r>
      <w:r w:rsidR="001F23BD" w:rsidRPr="0033148D">
        <w:rPr>
          <w:rFonts w:cstheme="minorHAnsi"/>
          <w:color w:val="000000"/>
          <w:sz w:val="24"/>
          <w:szCs w:val="24"/>
        </w:rPr>
        <w:t xml:space="preserve">, a čije </w:t>
      </w:r>
      <w:r w:rsidR="005B5757" w:rsidRPr="0033148D">
        <w:rPr>
          <w:rFonts w:cstheme="minorHAnsi"/>
          <w:color w:val="000000"/>
          <w:sz w:val="24"/>
          <w:szCs w:val="24"/>
        </w:rPr>
        <w:t xml:space="preserve">će se </w:t>
      </w:r>
      <w:r w:rsidR="001F23BD" w:rsidRPr="0033148D">
        <w:rPr>
          <w:rFonts w:cstheme="minorHAnsi"/>
          <w:color w:val="000000"/>
          <w:sz w:val="24"/>
          <w:szCs w:val="24"/>
        </w:rPr>
        <w:t xml:space="preserve">odredbe </w:t>
      </w:r>
      <w:r w:rsidR="005B5757" w:rsidRPr="0033148D">
        <w:rPr>
          <w:rFonts w:cstheme="minorHAnsi"/>
          <w:color w:val="000000"/>
          <w:sz w:val="24"/>
          <w:szCs w:val="24"/>
        </w:rPr>
        <w:t xml:space="preserve">u potpunosti primjenjivati od 8. kolovoza 2025. godine. </w:t>
      </w:r>
      <w:r w:rsidR="001F23BD" w:rsidRPr="0033148D">
        <w:rPr>
          <w:rFonts w:cstheme="minorHAnsi"/>
          <w:color w:val="000000"/>
          <w:sz w:val="24"/>
          <w:szCs w:val="24"/>
        </w:rPr>
        <w:t>Tijekom razdoblja provedbe Akcijskog plana r</w:t>
      </w:r>
      <w:r w:rsidR="005B5757" w:rsidRPr="0033148D">
        <w:rPr>
          <w:rFonts w:cstheme="minorHAnsi"/>
          <w:color w:val="000000"/>
          <w:sz w:val="24"/>
          <w:szCs w:val="24"/>
        </w:rPr>
        <w:t xml:space="preserve">adna skupina Ministarstva kulture i medija izradila je radni tekst nacrta prijedloga Zakona o medijima, u </w:t>
      </w:r>
      <w:r w:rsidR="00B907CD" w:rsidRPr="0033148D">
        <w:rPr>
          <w:rFonts w:cstheme="minorHAnsi"/>
          <w:color w:val="000000"/>
          <w:sz w:val="24"/>
          <w:szCs w:val="24"/>
        </w:rPr>
        <w:t>koji</w:t>
      </w:r>
      <w:r w:rsidR="005B5757" w:rsidRPr="0033148D">
        <w:rPr>
          <w:rFonts w:cstheme="minorHAnsi"/>
          <w:color w:val="000000"/>
          <w:sz w:val="24"/>
          <w:szCs w:val="24"/>
        </w:rPr>
        <w:t xml:space="preserve"> na odgovarajući način </w:t>
      </w:r>
      <w:r w:rsidR="006F578D" w:rsidRPr="0033148D">
        <w:rPr>
          <w:rFonts w:cstheme="minorHAnsi"/>
          <w:color w:val="000000"/>
          <w:sz w:val="24"/>
          <w:szCs w:val="24"/>
        </w:rPr>
        <w:t>predstoji</w:t>
      </w:r>
      <w:r w:rsidR="00B907CD" w:rsidRPr="0033148D">
        <w:rPr>
          <w:rFonts w:cstheme="minorHAnsi"/>
          <w:color w:val="000000"/>
          <w:sz w:val="24"/>
          <w:szCs w:val="24"/>
        </w:rPr>
        <w:t xml:space="preserve"> </w:t>
      </w:r>
      <w:r w:rsidR="005B5757" w:rsidRPr="0033148D">
        <w:rPr>
          <w:rFonts w:cstheme="minorHAnsi"/>
          <w:color w:val="000000"/>
          <w:sz w:val="24"/>
          <w:szCs w:val="24"/>
        </w:rPr>
        <w:t xml:space="preserve">prenijeti odredbe Europskog akta o slobodi medija. </w:t>
      </w:r>
      <w:r w:rsidR="00905AC4" w:rsidRPr="0033148D">
        <w:rPr>
          <w:rFonts w:cstheme="minorHAnsi"/>
          <w:sz w:val="24"/>
          <w:szCs w:val="24"/>
        </w:rPr>
        <w:t xml:space="preserve">Dvije aktivnosti u okviru </w:t>
      </w:r>
      <w:r w:rsidR="00905AC4" w:rsidRPr="003630D9">
        <w:rPr>
          <w:rFonts w:cstheme="minorHAnsi"/>
          <w:b/>
          <w:sz w:val="24"/>
          <w:szCs w:val="24"/>
        </w:rPr>
        <w:t>mjer</w:t>
      </w:r>
      <w:r w:rsidR="005F64BA">
        <w:rPr>
          <w:rFonts w:cstheme="minorHAnsi"/>
          <w:b/>
          <w:sz w:val="24"/>
          <w:szCs w:val="24"/>
        </w:rPr>
        <w:t>e</w:t>
      </w:r>
      <w:r w:rsidR="00905AC4" w:rsidRPr="003630D9">
        <w:rPr>
          <w:rFonts w:cstheme="minorHAnsi"/>
          <w:b/>
          <w:sz w:val="24"/>
          <w:szCs w:val="24"/>
        </w:rPr>
        <w:t xml:space="preserve"> 14</w:t>
      </w:r>
      <w:r w:rsidR="00905AC4" w:rsidRPr="0033148D">
        <w:rPr>
          <w:rFonts w:cstheme="minorHAnsi"/>
          <w:sz w:val="24"/>
          <w:szCs w:val="24"/>
        </w:rPr>
        <w:t xml:space="preserve"> </w:t>
      </w:r>
      <w:r w:rsidR="00394550">
        <w:rPr>
          <w:rFonts w:cstheme="minorHAnsi"/>
          <w:sz w:val="24"/>
          <w:szCs w:val="24"/>
        </w:rPr>
        <w:t>–</w:t>
      </w:r>
      <w:r w:rsidR="00905AC4" w:rsidRPr="0033148D">
        <w:rPr>
          <w:rFonts w:cstheme="minorHAnsi"/>
          <w:sz w:val="24"/>
          <w:szCs w:val="24"/>
        </w:rPr>
        <w:t xml:space="preserve"> Dodatno unaprjeđenje provedbe savjetovanja s javnošću: Unaprijediti Kodeks savjetovanja sa zainteresiranom javnošću u postupcima donošenja zakona, drugih propisa i akata (aktivnost 14.1) i Kontinuirano ažurirati bazu podataka o sastavima radnih skupina za izradu nacrta zakona, drugih propisa i akata te povjerenstava i radnih tijela (uključujući i ona u kojima sudjeluju organizacije civilnog društva i ostali predstavnici zainteresirane javnosti) u sklopu savjetovanja.gov.hr (aktivnost 14.5) također su provedene u manjoj mjeri. Naime, 1. siječnja 2024. godine na snagu je stupio novi Zakon o instrumentima politike boljih propisa, koji je na jednom mjestu objedinio i unaprijedio osnovne instrumente politike boljih propisa, uključujući i savjetovanje s javnošću. Uredba o metodologiji i postupku provedbe instrumenata politike boljih propisa kao prateći </w:t>
      </w:r>
      <w:proofErr w:type="spellStart"/>
      <w:r w:rsidR="00905AC4" w:rsidRPr="0033148D">
        <w:rPr>
          <w:rFonts w:cstheme="minorHAnsi"/>
          <w:sz w:val="24"/>
          <w:szCs w:val="24"/>
        </w:rPr>
        <w:t>podzakonski</w:t>
      </w:r>
      <w:proofErr w:type="spellEnd"/>
      <w:r w:rsidR="00905AC4" w:rsidRPr="0033148D">
        <w:rPr>
          <w:rFonts w:cstheme="minorHAnsi"/>
          <w:sz w:val="24"/>
          <w:szCs w:val="24"/>
        </w:rPr>
        <w:t xml:space="preserve"> akt, predviđa donošenje Smjernica za provedbu instrumenata politike boljih propisa u roku od 90 dana od dana stupanja na snagu Uredbe (očekivano do kraja 2024. godine). Smjernice za provedbu instrumenata politike boljih propisa sadržavat će ujedno i revidirane smjernice za provedbu savjetovanja s javnošću te će na taj način djelomično biti ostvarena mjera.</w:t>
      </w:r>
    </w:p>
    <w:p w14:paraId="329F9749" w14:textId="10B4E2D3" w:rsidR="003034FE" w:rsidRPr="0033148D" w:rsidRDefault="00905AC4" w:rsidP="0033148D">
      <w:pPr>
        <w:pStyle w:val="Default"/>
        <w:spacing w:after="120"/>
        <w:ind w:firstLine="708"/>
        <w:jc w:val="both"/>
        <w:rPr>
          <w:rFonts w:asciiTheme="minorHAnsi" w:hAnsiTheme="minorHAnsi" w:cstheme="minorHAnsi"/>
        </w:rPr>
      </w:pPr>
      <w:r w:rsidRPr="0033148D">
        <w:rPr>
          <w:rFonts w:asciiTheme="minorHAnsi" w:hAnsiTheme="minorHAnsi" w:cstheme="minorHAnsi"/>
        </w:rPr>
        <w:t>Dodatno, s</w:t>
      </w:r>
      <w:r w:rsidR="009544B4" w:rsidRPr="0033148D">
        <w:rPr>
          <w:rFonts w:asciiTheme="minorHAnsi" w:hAnsiTheme="minorHAnsi" w:cstheme="minorHAnsi"/>
        </w:rPr>
        <w:t xml:space="preserve"> obzirom na to da se </w:t>
      </w:r>
      <w:r w:rsidR="00B100E5" w:rsidRPr="0033148D">
        <w:rPr>
          <w:rFonts w:asciiTheme="minorHAnsi" w:hAnsiTheme="minorHAnsi" w:cstheme="minorHAnsi"/>
        </w:rPr>
        <w:t xml:space="preserve">dio </w:t>
      </w:r>
      <w:r w:rsidR="009544B4" w:rsidRPr="0033148D">
        <w:rPr>
          <w:rFonts w:asciiTheme="minorHAnsi" w:hAnsiTheme="minorHAnsi" w:cstheme="minorHAnsi"/>
        </w:rPr>
        <w:t xml:space="preserve">aktivnosti Akcijskog plana </w:t>
      </w:r>
      <w:r w:rsidR="00B100E5" w:rsidRPr="0033148D">
        <w:rPr>
          <w:rFonts w:asciiTheme="minorHAnsi" w:hAnsiTheme="minorHAnsi" w:cstheme="minorHAnsi"/>
        </w:rPr>
        <w:t>odnosi</w:t>
      </w:r>
      <w:r w:rsidR="009544B4" w:rsidRPr="0033148D">
        <w:rPr>
          <w:rFonts w:asciiTheme="minorHAnsi" w:hAnsiTheme="minorHAnsi" w:cstheme="minorHAnsi"/>
        </w:rPr>
        <w:t xml:space="preserve"> na donošenje novih normativnih rješenja drugih dokumenata</w:t>
      </w:r>
      <w:r w:rsidR="008731B6" w:rsidRPr="0033148D">
        <w:rPr>
          <w:rFonts w:asciiTheme="minorHAnsi" w:hAnsiTheme="minorHAnsi" w:cstheme="minorHAnsi"/>
        </w:rPr>
        <w:t xml:space="preserve">, </w:t>
      </w:r>
      <w:r w:rsidRPr="0033148D">
        <w:rPr>
          <w:rFonts w:asciiTheme="minorHAnsi" w:hAnsiTheme="minorHAnsi" w:cstheme="minorHAnsi"/>
        </w:rPr>
        <w:t xml:space="preserve">a koji su doneseni koncem razdoblja provedbe 4. Akcijskog plana, </w:t>
      </w:r>
      <w:r w:rsidR="009544B4" w:rsidRPr="0033148D">
        <w:rPr>
          <w:rFonts w:asciiTheme="minorHAnsi" w:hAnsiTheme="minorHAnsi" w:cstheme="minorHAnsi"/>
        </w:rPr>
        <w:t>konkretn</w:t>
      </w:r>
      <w:r w:rsidRPr="0033148D">
        <w:rPr>
          <w:rFonts w:asciiTheme="minorHAnsi" w:hAnsiTheme="minorHAnsi" w:cstheme="minorHAnsi"/>
        </w:rPr>
        <w:t>i</w:t>
      </w:r>
      <w:r w:rsidR="009544B4" w:rsidRPr="0033148D">
        <w:rPr>
          <w:rFonts w:asciiTheme="minorHAnsi" w:hAnsiTheme="minorHAnsi" w:cstheme="minorHAnsi"/>
        </w:rPr>
        <w:t xml:space="preserve"> učin</w:t>
      </w:r>
      <w:r w:rsidRPr="0033148D">
        <w:rPr>
          <w:rFonts w:asciiTheme="minorHAnsi" w:hAnsiTheme="minorHAnsi" w:cstheme="minorHAnsi"/>
        </w:rPr>
        <w:t>ci</w:t>
      </w:r>
      <w:r w:rsidR="009544B4" w:rsidRPr="0033148D">
        <w:rPr>
          <w:rFonts w:asciiTheme="minorHAnsi" w:hAnsiTheme="minorHAnsi" w:cstheme="minorHAnsi"/>
        </w:rPr>
        <w:t xml:space="preserve"> tih aktivnosti </w:t>
      </w:r>
      <w:r w:rsidRPr="0033148D">
        <w:rPr>
          <w:rFonts w:asciiTheme="minorHAnsi" w:hAnsiTheme="minorHAnsi" w:cstheme="minorHAnsi"/>
        </w:rPr>
        <w:t xml:space="preserve">moći će se </w:t>
      </w:r>
      <w:r w:rsidR="009544B4" w:rsidRPr="0033148D">
        <w:rPr>
          <w:rFonts w:asciiTheme="minorHAnsi" w:hAnsiTheme="minorHAnsi" w:cstheme="minorHAnsi"/>
        </w:rPr>
        <w:t xml:space="preserve">procijeniti tek u narednom razdoblju. </w:t>
      </w:r>
    </w:p>
    <w:p w14:paraId="33F11E33" w14:textId="78013545" w:rsidR="003034FE" w:rsidRPr="0033148D" w:rsidRDefault="00F12609" w:rsidP="0033148D">
      <w:pPr>
        <w:pStyle w:val="Default"/>
        <w:spacing w:after="120"/>
        <w:ind w:firstLine="708"/>
        <w:jc w:val="both"/>
        <w:rPr>
          <w:rFonts w:asciiTheme="minorHAnsi" w:hAnsiTheme="minorHAnsi" w:cstheme="minorHAnsi"/>
        </w:rPr>
      </w:pPr>
      <w:r>
        <w:rPr>
          <w:rFonts w:asciiTheme="minorHAnsi" w:hAnsiTheme="minorHAnsi" w:cstheme="minorHAnsi"/>
        </w:rPr>
        <w:t>Treba istaknuti da su tijekom provedbe ovo Akcijskog plana o</w:t>
      </w:r>
      <w:r w:rsidR="009544B4" w:rsidRPr="0033148D">
        <w:rPr>
          <w:rFonts w:asciiTheme="minorHAnsi" w:hAnsiTheme="minorHAnsi" w:cstheme="minorHAnsi"/>
        </w:rPr>
        <w:t>stvareni i neki značajni rezultati s direktnim koristima za građane:</w:t>
      </w:r>
      <w:r w:rsidR="00905AC4" w:rsidRPr="0033148D">
        <w:rPr>
          <w:rFonts w:asciiTheme="minorHAnsi" w:hAnsiTheme="minorHAnsi" w:cstheme="minorHAnsi"/>
        </w:rPr>
        <w:t xml:space="preserve"> </w:t>
      </w:r>
    </w:p>
    <w:p w14:paraId="4420656A" w14:textId="77777777" w:rsidR="003034FE" w:rsidRPr="0033148D" w:rsidRDefault="003034FE" w:rsidP="00533C38">
      <w:pPr>
        <w:pStyle w:val="Default"/>
        <w:numPr>
          <w:ilvl w:val="2"/>
          <w:numId w:val="45"/>
        </w:numPr>
        <w:spacing w:after="120"/>
        <w:ind w:left="1418"/>
        <w:jc w:val="both"/>
        <w:rPr>
          <w:rFonts w:asciiTheme="minorHAnsi" w:hAnsiTheme="minorHAnsi" w:cstheme="minorHAnsi"/>
        </w:rPr>
      </w:pPr>
      <w:r w:rsidRPr="0033148D">
        <w:rPr>
          <w:rFonts w:asciiTheme="minorHAnsi" w:hAnsiTheme="minorHAnsi" w:cstheme="minorHAnsi"/>
        </w:rPr>
        <w:t xml:space="preserve">Nastavilo se raditi na podizanju transparentnosti tijela javne vlasti u odnosu na </w:t>
      </w:r>
      <w:proofErr w:type="spellStart"/>
      <w:r w:rsidRPr="0033148D">
        <w:rPr>
          <w:rFonts w:asciiTheme="minorHAnsi" w:hAnsiTheme="minorHAnsi" w:cstheme="minorHAnsi"/>
        </w:rPr>
        <w:t>proaktivnu</w:t>
      </w:r>
      <w:proofErr w:type="spellEnd"/>
      <w:r w:rsidRPr="0033148D">
        <w:rPr>
          <w:rFonts w:asciiTheme="minorHAnsi" w:hAnsiTheme="minorHAnsi" w:cstheme="minorHAnsi"/>
        </w:rPr>
        <w:t xml:space="preserve"> objavu informacija, savjetovanja s javnošću u procesu donošenja odluka i osiguravanje javnosti rada tijela javne vlasti, te promoviranje ponovne uporabe informacija i otvorenih podataka. </w:t>
      </w:r>
    </w:p>
    <w:p w14:paraId="29DF7A03" w14:textId="0F01D532" w:rsidR="003034FE" w:rsidRPr="0033148D" w:rsidRDefault="003034FE" w:rsidP="00533C38">
      <w:pPr>
        <w:pStyle w:val="Default"/>
        <w:numPr>
          <w:ilvl w:val="2"/>
          <w:numId w:val="45"/>
        </w:numPr>
        <w:spacing w:after="120"/>
        <w:ind w:left="1418"/>
        <w:jc w:val="both"/>
        <w:rPr>
          <w:rFonts w:asciiTheme="minorHAnsi" w:hAnsiTheme="minorHAnsi" w:cstheme="minorHAnsi"/>
        </w:rPr>
      </w:pPr>
      <w:r w:rsidRPr="0033148D">
        <w:rPr>
          <w:rFonts w:asciiTheme="minorHAnsi" w:hAnsiTheme="minorHAnsi" w:cstheme="minorHAnsi"/>
        </w:rPr>
        <w:t xml:space="preserve">Provođene su sustavne edukacije o provedbi Zakona o pravu na pristup informacijama; </w:t>
      </w:r>
      <w:r w:rsidR="00F12609">
        <w:rPr>
          <w:rFonts w:asciiTheme="minorHAnsi" w:hAnsiTheme="minorHAnsi" w:cstheme="minorHAnsi"/>
        </w:rPr>
        <w:t xml:space="preserve">Uredbe o </w:t>
      </w:r>
      <w:r w:rsidRPr="0033148D">
        <w:rPr>
          <w:rFonts w:asciiTheme="minorHAnsi" w:hAnsiTheme="minorHAnsi" w:cstheme="minorHAnsi"/>
        </w:rPr>
        <w:t xml:space="preserve">kriterijima, mjerilima i postupcima financiranja i ugovaranja programa i projekata od interesa za opće dobro koje provode udruge; o korištenju unaprijeđenog Središnjeg kataloga službenih dokumenata; </w:t>
      </w:r>
      <w:r w:rsidR="001F7C5E" w:rsidRPr="0033148D">
        <w:rPr>
          <w:rFonts w:asciiTheme="minorHAnsi" w:hAnsiTheme="minorHAnsi" w:cstheme="minorHAnsi"/>
        </w:rPr>
        <w:t>primjeni propisa koji uređuju područje zaštite osobnih podataka s naglaskom na Opću uredbu o zaštiti podataka</w:t>
      </w:r>
      <w:r w:rsidRPr="0033148D">
        <w:rPr>
          <w:rFonts w:asciiTheme="minorHAnsi" w:hAnsiTheme="minorHAnsi" w:cstheme="minorHAnsi"/>
        </w:rPr>
        <w:t>; provedbi savjetovanja sa zainteresiranom javnošću.</w:t>
      </w:r>
    </w:p>
    <w:p w14:paraId="7D588B25" w14:textId="1A8403EB" w:rsidR="003034FE" w:rsidRPr="0033148D" w:rsidRDefault="001F7C5E" w:rsidP="00533C38">
      <w:pPr>
        <w:pStyle w:val="Default"/>
        <w:numPr>
          <w:ilvl w:val="2"/>
          <w:numId w:val="45"/>
        </w:numPr>
        <w:spacing w:after="120"/>
        <w:ind w:left="1418"/>
        <w:jc w:val="both"/>
        <w:rPr>
          <w:rFonts w:asciiTheme="minorHAnsi" w:hAnsiTheme="minorHAnsi" w:cstheme="minorHAnsi"/>
        </w:rPr>
      </w:pPr>
      <w:r w:rsidRPr="0033148D">
        <w:rPr>
          <w:rFonts w:asciiTheme="minorHAnsi" w:hAnsiTheme="minorHAnsi" w:cstheme="minorHAnsi"/>
        </w:rPr>
        <w:t>S</w:t>
      </w:r>
      <w:r w:rsidR="003034FE" w:rsidRPr="0033148D">
        <w:rPr>
          <w:rFonts w:asciiTheme="minorHAnsi" w:hAnsiTheme="minorHAnsi" w:cstheme="minorHAnsi"/>
        </w:rPr>
        <w:t>ustav e-Savjetovanja tehnološki je, procesno i funkcionalno unaprijeđen i proširen: modernizirano je sučelje, aplikacija prilagođena različitim tipovima uređaja (</w:t>
      </w:r>
      <w:proofErr w:type="spellStart"/>
      <w:r w:rsidR="003034FE" w:rsidRPr="0033148D">
        <w:rPr>
          <w:rFonts w:asciiTheme="minorHAnsi" w:hAnsiTheme="minorHAnsi" w:cstheme="minorHAnsi"/>
        </w:rPr>
        <w:t>responzivni</w:t>
      </w:r>
      <w:proofErr w:type="spellEnd"/>
      <w:r w:rsidR="003034FE" w:rsidRPr="0033148D">
        <w:rPr>
          <w:rFonts w:asciiTheme="minorHAnsi" w:hAnsiTheme="minorHAnsi" w:cstheme="minorHAnsi"/>
        </w:rPr>
        <w:t xml:space="preserve"> dizajn) i prilagođen</w:t>
      </w:r>
      <w:r w:rsidR="00F12609">
        <w:rPr>
          <w:rFonts w:asciiTheme="minorHAnsi" w:hAnsiTheme="minorHAnsi" w:cstheme="minorHAnsi"/>
        </w:rPr>
        <w:t>o korištenje i za razinu</w:t>
      </w:r>
      <w:r w:rsidR="003034FE" w:rsidRPr="0033148D">
        <w:rPr>
          <w:rFonts w:asciiTheme="minorHAnsi" w:hAnsiTheme="minorHAnsi" w:cstheme="minorHAnsi"/>
        </w:rPr>
        <w:t xml:space="preserve"> jedinica lokalne i područne (regionalne) samouprave</w:t>
      </w:r>
      <w:r w:rsidR="00352A62">
        <w:rPr>
          <w:rFonts w:asciiTheme="minorHAnsi" w:hAnsiTheme="minorHAnsi" w:cstheme="minorHAnsi"/>
        </w:rPr>
        <w:t xml:space="preserve"> (JLP(R)S)</w:t>
      </w:r>
      <w:r w:rsidR="003034FE" w:rsidRPr="0033148D">
        <w:rPr>
          <w:rFonts w:asciiTheme="minorHAnsi" w:hAnsiTheme="minorHAnsi" w:cstheme="minorHAnsi"/>
        </w:rPr>
        <w:t>.</w:t>
      </w:r>
    </w:p>
    <w:p w14:paraId="48DF0446" w14:textId="77777777" w:rsidR="003034FE" w:rsidRPr="0033148D" w:rsidRDefault="003034FE" w:rsidP="00533C38">
      <w:pPr>
        <w:pStyle w:val="Default"/>
        <w:numPr>
          <w:ilvl w:val="2"/>
          <w:numId w:val="45"/>
        </w:numPr>
        <w:spacing w:after="120"/>
        <w:ind w:left="1418"/>
        <w:jc w:val="both"/>
        <w:rPr>
          <w:rFonts w:asciiTheme="minorHAnsi" w:hAnsiTheme="minorHAnsi" w:cstheme="minorHAnsi"/>
        </w:rPr>
      </w:pPr>
      <w:r w:rsidRPr="0033148D">
        <w:rPr>
          <w:rFonts w:asciiTheme="minorHAnsi" w:hAnsiTheme="minorHAnsi" w:cstheme="minorHAnsi"/>
        </w:rPr>
        <w:t xml:space="preserve">U području fiskalne transparentnosti, Ministarstvo financija je povećalo učestalost osvježavanja podataka u strojno čitljivom obliku dostupnih na mrežnoj stranici na tjednu razinu, dok je aplikacija o plaćanjima iz državnog proračuna po dobavljačima proširena na veći broj transakcija, te je omogućeno pretraživanje po više parametara nego ranije. Također, donesen je 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(NN 59/23.), koji obvezuje jedinice lokalne i područne (regionalne) samouprave te proračunske i izvanproračunske korisnike na objavu informacija o trošenju sredstava odnosno informacija o isplatama pravnim i fizičkim osobama iz proračuna odnosno financijskog plana. </w:t>
      </w:r>
    </w:p>
    <w:p w14:paraId="2EB3D8C2" w14:textId="1BC1DB1C" w:rsidR="003034FE" w:rsidRPr="0033148D" w:rsidRDefault="003034FE" w:rsidP="00533C38">
      <w:pPr>
        <w:pStyle w:val="Default"/>
        <w:numPr>
          <w:ilvl w:val="2"/>
          <w:numId w:val="45"/>
        </w:numPr>
        <w:spacing w:after="120"/>
        <w:ind w:left="1418"/>
        <w:jc w:val="both"/>
        <w:rPr>
          <w:rFonts w:asciiTheme="minorHAnsi" w:hAnsiTheme="minorHAnsi" w:cstheme="minorHAnsi"/>
        </w:rPr>
      </w:pPr>
      <w:r w:rsidRPr="0033148D">
        <w:rPr>
          <w:rFonts w:asciiTheme="minorHAnsi" w:hAnsiTheme="minorHAnsi" w:cstheme="minorHAnsi"/>
        </w:rPr>
        <w:lastRenderedPageBreak/>
        <w:t xml:space="preserve">Izrađen je i usvojen Zakon o lobiranju, koji </w:t>
      </w:r>
      <w:r w:rsidR="001E257F">
        <w:rPr>
          <w:rFonts w:asciiTheme="minorHAnsi" w:hAnsiTheme="minorHAnsi" w:cstheme="minorHAnsi"/>
        </w:rPr>
        <w:t>j</w:t>
      </w:r>
      <w:r w:rsidRPr="0033148D">
        <w:rPr>
          <w:rFonts w:asciiTheme="minorHAnsi" w:hAnsiTheme="minorHAnsi" w:cstheme="minorHAnsi"/>
        </w:rPr>
        <w:t>e stupi</w:t>
      </w:r>
      <w:r w:rsidR="001E257F">
        <w:rPr>
          <w:rFonts w:asciiTheme="minorHAnsi" w:hAnsiTheme="minorHAnsi" w:cstheme="minorHAnsi"/>
        </w:rPr>
        <w:t>o</w:t>
      </w:r>
      <w:r w:rsidRPr="0033148D">
        <w:rPr>
          <w:rFonts w:asciiTheme="minorHAnsi" w:hAnsiTheme="minorHAnsi" w:cstheme="minorHAnsi"/>
        </w:rPr>
        <w:t xml:space="preserve"> na snagu 1. listopada 2024. godine. </w:t>
      </w:r>
    </w:p>
    <w:p w14:paraId="490E8B5E" w14:textId="315E6B6A" w:rsidR="00160ECF" w:rsidRPr="0033148D" w:rsidRDefault="003034FE" w:rsidP="00533C38">
      <w:pPr>
        <w:pStyle w:val="Default"/>
        <w:numPr>
          <w:ilvl w:val="2"/>
          <w:numId w:val="45"/>
        </w:numPr>
        <w:spacing w:after="120"/>
        <w:ind w:left="1418"/>
        <w:jc w:val="both"/>
        <w:rPr>
          <w:rFonts w:cstheme="minorHAnsi"/>
        </w:rPr>
      </w:pPr>
      <w:r w:rsidRPr="0033148D">
        <w:rPr>
          <w:rFonts w:asciiTheme="minorHAnsi" w:hAnsiTheme="minorHAnsi" w:cstheme="minorHAnsi"/>
        </w:rPr>
        <w:t xml:space="preserve">Savjet inicijative Partnerstvo za otvorenu vlast i Ured za udruge nastavili su poticati predstavnike lokalnih vlasti da se uključe u inicijativu Partnerstvo za otvorenu vlast. U prosincu 2022. i 2023. godine organizirana su javna događanja na temu Otvorene lokalne vlasti, na kojima su predstavljeni primjeri uspješnih lokalnih jedinica. Grad Zagreb kao prva lokalna jedinica iz Hrvatske, uz partnersku podršku udruge Gong, </w:t>
      </w:r>
      <w:r w:rsidR="003630D9">
        <w:rPr>
          <w:rFonts w:asciiTheme="minorHAnsi" w:hAnsiTheme="minorHAnsi" w:cstheme="minorHAnsi"/>
        </w:rPr>
        <w:t xml:space="preserve">16. travnja 2024. godine </w:t>
      </w:r>
      <w:r w:rsidRPr="0033148D">
        <w:rPr>
          <w:rFonts w:asciiTheme="minorHAnsi" w:hAnsiTheme="minorHAnsi" w:cstheme="minorHAnsi"/>
        </w:rPr>
        <w:t xml:space="preserve">izabran </w:t>
      </w:r>
      <w:r w:rsidR="00394550">
        <w:rPr>
          <w:rFonts w:asciiTheme="minorHAnsi" w:hAnsiTheme="minorHAnsi" w:cstheme="minorHAnsi"/>
        </w:rPr>
        <w:t xml:space="preserve">je </w:t>
      </w:r>
      <w:r w:rsidRPr="0033148D">
        <w:rPr>
          <w:rFonts w:asciiTheme="minorHAnsi" w:hAnsiTheme="minorHAnsi" w:cstheme="minorHAnsi"/>
        </w:rPr>
        <w:t xml:space="preserve">za člana programa Otvorene lokalne vlasti (OGP </w:t>
      </w:r>
      <w:proofErr w:type="spellStart"/>
      <w:r w:rsidRPr="0033148D">
        <w:rPr>
          <w:rFonts w:asciiTheme="minorHAnsi" w:hAnsiTheme="minorHAnsi" w:cstheme="minorHAnsi"/>
        </w:rPr>
        <w:t>Local</w:t>
      </w:r>
      <w:proofErr w:type="spellEnd"/>
      <w:r w:rsidRPr="0033148D">
        <w:rPr>
          <w:rFonts w:asciiTheme="minorHAnsi" w:hAnsiTheme="minorHAnsi" w:cstheme="minorHAnsi"/>
        </w:rPr>
        <w:t>)</w:t>
      </w:r>
      <w:r w:rsidR="0033148D" w:rsidRPr="0033148D">
        <w:rPr>
          <w:rFonts w:asciiTheme="minorHAnsi" w:hAnsiTheme="minorHAnsi" w:cstheme="minorHAnsi"/>
        </w:rPr>
        <w:t>.</w:t>
      </w:r>
    </w:p>
    <w:p w14:paraId="4E058072" w14:textId="77777777" w:rsidR="004F1C20" w:rsidRPr="0033148D" w:rsidRDefault="004F1C20" w:rsidP="0033148D">
      <w:pPr>
        <w:spacing w:line="240" w:lineRule="auto"/>
        <w:rPr>
          <w:rFonts w:cstheme="minorHAnsi"/>
        </w:rPr>
      </w:pPr>
      <w:r w:rsidRPr="0033148D">
        <w:rPr>
          <w:rFonts w:cstheme="minorHAnsi"/>
        </w:rPr>
        <w:br w:type="page"/>
      </w:r>
    </w:p>
    <w:p w14:paraId="441D7373" w14:textId="2B45810D" w:rsidR="00160ECF" w:rsidRPr="00267611" w:rsidRDefault="0091246B" w:rsidP="00267611">
      <w:pPr>
        <w:pStyle w:val="Heading1"/>
        <w:rPr>
          <w:b/>
        </w:rPr>
      </w:pPr>
      <w:bookmarkStart w:id="7" w:name="_Toc183591315"/>
      <w:r>
        <w:rPr>
          <w:b/>
        </w:rPr>
        <w:lastRenderedPageBreak/>
        <w:t xml:space="preserve">6. </w:t>
      </w:r>
      <w:r w:rsidR="00980FAA" w:rsidRPr="00267611">
        <w:rPr>
          <w:b/>
        </w:rPr>
        <w:t>Provedba mjera i aktivnosti Akcijskog plana za provedbu inicijative Partnerstvo za otvorenu vlast u Republici Hrvatskoj za razdoblje 2022. – 2023. godine</w:t>
      </w:r>
      <w:bookmarkEnd w:id="7"/>
    </w:p>
    <w:p w14:paraId="38E2DB0B" w14:textId="77777777" w:rsidR="00AE28E4" w:rsidRPr="0091246B" w:rsidRDefault="00AE28E4" w:rsidP="00267611">
      <w:pPr>
        <w:pStyle w:val="Heading2"/>
        <w:rPr>
          <w:b/>
        </w:rPr>
      </w:pPr>
      <w:bookmarkStart w:id="8" w:name="_Toc183591316"/>
      <w:r w:rsidRPr="0091246B">
        <w:rPr>
          <w:b/>
        </w:rPr>
        <w:t>A – TRANSPARENTNOST</w:t>
      </w:r>
      <w:bookmarkEnd w:id="8"/>
    </w:p>
    <w:p w14:paraId="71FA0DC9" w14:textId="77777777" w:rsidR="00AE28E4" w:rsidRPr="0033148D" w:rsidRDefault="00AE28E4" w:rsidP="00267611">
      <w:pPr>
        <w:pStyle w:val="Heading3"/>
        <w:rPr>
          <w:lang w:eastAsia="hr-HR"/>
        </w:rPr>
      </w:pPr>
      <w:bookmarkStart w:id="9" w:name="_Toc183591317"/>
      <w:r w:rsidRPr="0033148D">
        <w:t xml:space="preserve">MJERA 1 - </w:t>
      </w:r>
      <w:r w:rsidRPr="0033148D">
        <w:rPr>
          <w:lang w:eastAsia="hr-HR"/>
        </w:rPr>
        <w:t>UNAPRJEĐENJE PROVEDBE ZAKONA O PRAVU NA PRISTUP INFORMACIJAMA</w:t>
      </w:r>
      <w:bookmarkEnd w:id="9"/>
    </w:p>
    <w:tbl>
      <w:tblPr>
        <w:tblW w:w="14596" w:type="dxa"/>
        <w:jc w:val="center"/>
        <w:tblLook w:val="04A0" w:firstRow="1" w:lastRow="0" w:firstColumn="1" w:lastColumn="0" w:noHBand="0" w:noVBand="1"/>
      </w:tblPr>
      <w:tblGrid>
        <w:gridCol w:w="1980"/>
        <w:gridCol w:w="2126"/>
        <w:gridCol w:w="2693"/>
        <w:gridCol w:w="2410"/>
        <w:gridCol w:w="2552"/>
        <w:gridCol w:w="2835"/>
      </w:tblGrid>
      <w:tr w:rsidR="001755DF" w:rsidRPr="0033148D" w14:paraId="4266BE3E" w14:textId="77777777" w:rsidTr="004C73DF">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DC52F0" w14:textId="16787E0C" w:rsidR="001755DF"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1755DF" w:rsidRPr="0033148D">
              <w:rPr>
                <w:rFonts w:ascii="Calibri" w:eastAsia="Times New Roman" w:hAnsi="Calibri" w:cs="Times New Roman"/>
                <w:b/>
                <w:bCs/>
                <w:color w:val="000000"/>
                <w:lang w:eastAsia="hr-HR"/>
              </w:rPr>
              <w:t>1.1. Jačati svijest udruga, novinara i građana o pravu na pristup informacijama</w:t>
            </w:r>
          </w:p>
        </w:tc>
      </w:tr>
      <w:tr w:rsidR="001755DF" w:rsidRPr="0033148D" w14:paraId="5970681E" w14:textId="77777777" w:rsidTr="00FD1185">
        <w:trPr>
          <w:trHeight w:val="463"/>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5AB8D9" w14:textId="32803A44" w:rsidR="001755DF" w:rsidRPr="0033148D" w:rsidRDefault="00EF7016" w:rsidP="0033148D">
            <w:pPr>
              <w:spacing w:after="0" w:line="240" w:lineRule="auto"/>
              <w:rPr>
                <w:rFonts w:eastAsia="Times New Roman" w:cstheme="minorHAnsi"/>
                <w:b/>
                <w:bCs/>
                <w:color w:val="000000"/>
                <w:lang w:eastAsia="hr-HR"/>
              </w:rPr>
            </w:pPr>
            <w:r w:rsidRPr="0033148D">
              <w:rPr>
                <w:rFonts w:eastAsia="Times New Roman" w:cstheme="minorHAnsi"/>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27263ED"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Povjerenik za informiranje</w:t>
            </w:r>
          </w:p>
        </w:tc>
      </w:tr>
      <w:tr w:rsidR="001755DF" w:rsidRPr="0033148D" w14:paraId="65DA9832" w14:textId="77777777" w:rsidTr="00FD1185">
        <w:trPr>
          <w:trHeight w:val="5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8572BC0" w14:textId="77777777" w:rsidR="001755DF" w:rsidRPr="0033148D" w:rsidRDefault="001755DF" w:rsidP="0033148D">
            <w:pPr>
              <w:spacing w:after="0" w:line="240" w:lineRule="auto"/>
              <w:rPr>
                <w:rFonts w:eastAsia="Times New Roman" w:cstheme="minorHAnsi"/>
                <w:b/>
                <w:bCs/>
                <w:color w:val="000000"/>
                <w:lang w:eastAsia="hr-HR"/>
              </w:rPr>
            </w:pPr>
            <w:proofErr w:type="spellStart"/>
            <w:r w:rsidRPr="0033148D">
              <w:rPr>
                <w:rFonts w:eastAsia="Times New Roman" w:cstheme="minorHAnsi"/>
                <w:b/>
                <w:bCs/>
                <w:color w:val="000000"/>
                <w:lang w:eastAsia="hr-HR"/>
              </w:rPr>
              <w:t>Sunositelj</w:t>
            </w:r>
            <w:proofErr w:type="spellEnd"/>
            <w:r w:rsidRPr="0033148D">
              <w:rPr>
                <w:rFonts w:eastAsia="Times New Roman" w:cstheme="minorHAnsi"/>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3365152"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Središnji državni ured za razvoj digitalnog društva, akademska zajednica, organizacije civilnoga društva</w:t>
            </w:r>
          </w:p>
        </w:tc>
      </w:tr>
      <w:tr w:rsidR="001755DF" w:rsidRPr="0033148D" w14:paraId="520A2168" w14:textId="77777777" w:rsidTr="00FD1185">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E0D951A"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 xml:space="preserve">Drugi uključeni akteri </w:t>
            </w:r>
            <w:r w:rsidRPr="0033148D">
              <w:rPr>
                <w:rFonts w:eastAsia="Times New Roman" w:cstheme="minorHAnsi"/>
                <w:b/>
                <w:bCs/>
                <w:i/>
                <w:iCs/>
                <w:color w:val="000000"/>
                <w:lang w:eastAsia="hr-HR"/>
              </w:rPr>
              <w:t>(za cijelu mjeru 1.):</w:t>
            </w:r>
            <w:r w:rsidRPr="0033148D">
              <w:rPr>
                <w:rFonts w:eastAsia="Times New Roman" w:cstheme="minorHAnsi"/>
                <w:b/>
                <w:bCs/>
                <w:color w:val="000000"/>
                <w:lang w:eastAsia="hr-HR"/>
              </w:rPr>
              <w:t xml:space="preserve"> </w:t>
            </w:r>
          </w:p>
        </w:tc>
        <w:tc>
          <w:tcPr>
            <w:tcW w:w="2126" w:type="dxa"/>
            <w:tcBorders>
              <w:top w:val="nil"/>
              <w:left w:val="nil"/>
              <w:bottom w:val="single" w:sz="4" w:space="0" w:color="auto"/>
              <w:right w:val="single" w:sz="4" w:space="0" w:color="auto"/>
            </w:tcBorders>
            <w:shd w:val="clear" w:color="000000" w:fill="F2F2F2"/>
            <w:vAlign w:val="center"/>
            <w:hideMark/>
          </w:tcPr>
          <w:p w14:paraId="3A1DBF3E"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23E7B3A"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Ured za udruge Vlade Republike Hrvatske, Središnji državni ured za razvoj digitalnog društva</w:t>
            </w:r>
          </w:p>
        </w:tc>
      </w:tr>
      <w:tr w:rsidR="001755DF" w:rsidRPr="0033148D" w14:paraId="4A273B42" w14:textId="77777777" w:rsidTr="00FD1185">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69B07B9B" w14:textId="77777777" w:rsidR="001755DF" w:rsidRPr="0033148D" w:rsidRDefault="001755DF" w:rsidP="0033148D">
            <w:pPr>
              <w:spacing w:after="0" w:line="240" w:lineRule="auto"/>
              <w:rPr>
                <w:rFonts w:eastAsia="Times New Roman" w:cstheme="minorHAnsi"/>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3282C792"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 xml:space="preserve">OCD, privatni sektor, radne skupine, </w:t>
            </w:r>
            <w:proofErr w:type="spellStart"/>
            <w:r w:rsidRPr="0033148D">
              <w:rPr>
                <w:rFonts w:eastAsia="Times New Roman" w:cstheme="minorHAnsi"/>
                <w:b/>
                <w:bCs/>
                <w:color w:val="000000"/>
                <w:lang w:eastAsia="hr-HR"/>
              </w:rPr>
              <w:t>multilaterale</w:t>
            </w:r>
            <w:proofErr w:type="spellEnd"/>
            <w:r w:rsidRPr="0033148D">
              <w:rPr>
                <w:rFonts w:eastAsia="Times New Roman" w:cstheme="minorHAnsi"/>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E2EF2D8"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OCD, JLP(R)S</w:t>
            </w:r>
          </w:p>
        </w:tc>
      </w:tr>
      <w:tr w:rsidR="001755DF" w:rsidRPr="0033148D" w14:paraId="61AD4011" w14:textId="77777777" w:rsidTr="001B696E">
        <w:trPr>
          <w:trHeight w:val="44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86B8D7F" w14:textId="03C646FB" w:rsidR="001755DF" w:rsidRPr="0033148D" w:rsidRDefault="001755DF" w:rsidP="0033148D">
            <w:pPr>
              <w:spacing w:after="0" w:line="240" w:lineRule="auto"/>
              <w:rPr>
                <w:rFonts w:eastAsia="Times New Roman" w:cstheme="minorHAnsi"/>
                <w:b/>
                <w:bCs/>
                <w:color w:val="000000"/>
                <w:lang w:eastAsia="hr-HR"/>
              </w:rPr>
            </w:pPr>
            <w:r w:rsidRPr="0033148D">
              <w:rPr>
                <w:rFonts w:eastAsia="Times New Roman" w:cstheme="minorHAnsi"/>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11FF2AB"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2022.</w:t>
            </w:r>
          </w:p>
        </w:tc>
      </w:tr>
      <w:tr w:rsidR="001755DF" w:rsidRPr="0033148D" w14:paraId="44E7EAC9" w14:textId="77777777" w:rsidTr="001B696E">
        <w:trPr>
          <w:trHeight w:val="44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68E8566" w14:textId="35C1C93C" w:rsidR="001755DF" w:rsidRPr="0033148D" w:rsidRDefault="001755DF" w:rsidP="0033148D">
            <w:pPr>
              <w:spacing w:after="0" w:line="240" w:lineRule="auto"/>
              <w:rPr>
                <w:rFonts w:eastAsia="Times New Roman" w:cstheme="minorHAnsi"/>
                <w:b/>
                <w:bCs/>
                <w:color w:val="000000"/>
                <w:lang w:eastAsia="hr-HR"/>
              </w:rPr>
            </w:pPr>
            <w:r w:rsidRPr="0033148D">
              <w:rPr>
                <w:rFonts w:eastAsia="Times New Roman" w:cstheme="minorHAnsi"/>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4A04E47"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prosinac 2023.</w:t>
            </w:r>
          </w:p>
        </w:tc>
      </w:tr>
      <w:tr w:rsidR="001755DF" w:rsidRPr="0033148D" w14:paraId="682F40EF" w14:textId="77777777" w:rsidTr="00FD1185">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1F42149" w14:textId="5B31754F" w:rsidR="001755DF" w:rsidRPr="0033148D" w:rsidRDefault="002256D3" w:rsidP="0033148D">
            <w:pPr>
              <w:spacing w:after="0" w:line="240" w:lineRule="auto"/>
              <w:rPr>
                <w:rFonts w:eastAsia="Times New Roman" w:cstheme="minorHAnsi"/>
                <w:b/>
                <w:bCs/>
                <w:color w:val="000000"/>
                <w:lang w:eastAsia="hr-HR"/>
              </w:rPr>
            </w:pPr>
            <w:r w:rsidRPr="0033148D">
              <w:rPr>
                <w:rFonts w:eastAsia="Times New Roman" w:cstheme="minorHAnsi"/>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DADBC6B" w14:textId="77777777" w:rsidR="001755DF" w:rsidRPr="0033148D" w:rsidRDefault="001755DF" w:rsidP="0033148D">
            <w:pPr>
              <w:pStyle w:val="ListParagraph"/>
              <w:numPr>
                <w:ilvl w:val="0"/>
                <w:numId w:val="11"/>
              </w:num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Provedeno istraživanje o razini znanja i svijesti korisnika o korištenju prava na pristup informacijama na uzorku od 500 ispitanika</w:t>
            </w:r>
          </w:p>
          <w:p w14:paraId="1D2238FA" w14:textId="5C6195D4" w:rsidR="001755DF" w:rsidRPr="0033148D" w:rsidRDefault="001755DF" w:rsidP="0033148D">
            <w:pPr>
              <w:pStyle w:val="ListParagraph"/>
              <w:numPr>
                <w:ilvl w:val="0"/>
                <w:numId w:val="11"/>
              </w:num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 xml:space="preserve">Održane 4 </w:t>
            </w:r>
            <w:r w:rsidR="00C830CB">
              <w:rPr>
                <w:rFonts w:eastAsia="Times New Roman" w:cstheme="minorHAnsi"/>
                <w:color w:val="000000"/>
                <w:lang w:eastAsia="hr-HR"/>
              </w:rPr>
              <w:t>posebno prilagođene</w:t>
            </w:r>
            <w:r w:rsidRPr="0033148D">
              <w:rPr>
                <w:rFonts w:eastAsia="Times New Roman" w:cstheme="minorHAnsi"/>
                <w:color w:val="000000"/>
                <w:lang w:eastAsia="hr-HR"/>
              </w:rPr>
              <w:t xml:space="preserve"> edukacije za ciljne skupine korisnika prava na pristup informacijama (edukacije za novinare i studente u okviru nastavka Kampanje Pravo na pristup informacijama: Želim znati, želim sudjelovati!)</w:t>
            </w:r>
          </w:p>
          <w:p w14:paraId="44F09C12" w14:textId="77777777" w:rsidR="001755DF" w:rsidRPr="0033148D" w:rsidRDefault="001755DF" w:rsidP="0033148D">
            <w:pPr>
              <w:pStyle w:val="ListParagraph"/>
              <w:numPr>
                <w:ilvl w:val="0"/>
                <w:numId w:val="11"/>
              </w:num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 xml:space="preserve">Održana 2 </w:t>
            </w:r>
            <w:proofErr w:type="spellStart"/>
            <w:r w:rsidRPr="0033148D">
              <w:rPr>
                <w:rFonts w:eastAsia="Times New Roman" w:cstheme="minorHAnsi"/>
                <w:color w:val="000000"/>
                <w:lang w:eastAsia="hr-HR"/>
              </w:rPr>
              <w:t>briefinga</w:t>
            </w:r>
            <w:proofErr w:type="spellEnd"/>
            <w:r w:rsidRPr="0033148D">
              <w:rPr>
                <w:rFonts w:eastAsia="Times New Roman" w:cstheme="minorHAnsi"/>
                <w:color w:val="000000"/>
                <w:lang w:eastAsia="hr-HR"/>
              </w:rPr>
              <w:t xml:space="preserve"> godišnje (zelene udruge, antikorupcijske udruge u Uredu PI)</w:t>
            </w:r>
          </w:p>
          <w:p w14:paraId="5DA042CB" w14:textId="77777777" w:rsidR="001755DF" w:rsidRPr="0033148D" w:rsidRDefault="001755DF" w:rsidP="0033148D">
            <w:pPr>
              <w:pStyle w:val="ListParagraph"/>
              <w:numPr>
                <w:ilvl w:val="0"/>
                <w:numId w:val="11"/>
              </w:num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Periodična objava standarda postupanja u ostvarivanju prava na pristup informacijama, temeljenih na rješenjima Povjerenika za informiranje i Visokog upravnog suda RH, radi informiranja korisnika</w:t>
            </w:r>
          </w:p>
        </w:tc>
      </w:tr>
      <w:tr w:rsidR="001755DF" w:rsidRPr="0033148D" w14:paraId="75BA6258" w14:textId="77777777" w:rsidTr="00FD1185">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4BCA9AE" w14:textId="3AAF11A4" w:rsidR="001755DF" w:rsidRPr="0033148D" w:rsidRDefault="001755DF" w:rsidP="0033148D">
            <w:pPr>
              <w:spacing w:after="0" w:line="240" w:lineRule="auto"/>
              <w:rPr>
                <w:rFonts w:eastAsia="Times New Roman" w:cstheme="minorHAnsi"/>
                <w:bCs/>
                <w:i/>
                <w:color w:val="000000"/>
                <w:lang w:eastAsia="hr-HR"/>
              </w:rPr>
            </w:pPr>
            <w:r w:rsidRPr="0033148D">
              <w:rPr>
                <w:rFonts w:eastAsia="Times New Roman" w:cstheme="minorHAnsi"/>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C64D40"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68E96AB"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737193A"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77CFB0B1" w14:textId="77777777" w:rsidR="001755DF" w:rsidRPr="0033148D" w:rsidRDefault="001755DF" w:rsidP="0033148D">
            <w:pPr>
              <w:spacing w:after="0" w:line="240" w:lineRule="auto"/>
              <w:jc w:val="center"/>
              <w:rPr>
                <w:rFonts w:eastAsia="Times New Roman" w:cstheme="minorHAnsi"/>
                <w:b/>
                <w:bCs/>
                <w:color w:val="000000"/>
                <w:lang w:eastAsia="hr-HR"/>
              </w:rPr>
            </w:pPr>
            <w:r w:rsidRPr="0033148D">
              <w:rPr>
                <w:rFonts w:eastAsia="Times New Roman" w:cstheme="minorHAnsi"/>
                <w:b/>
                <w:bCs/>
                <w:color w:val="000000"/>
                <w:lang w:eastAsia="hr-HR"/>
              </w:rPr>
              <w:t>Provedeno u potpunosti</w:t>
            </w:r>
          </w:p>
        </w:tc>
      </w:tr>
      <w:tr w:rsidR="001755DF" w:rsidRPr="0033148D" w14:paraId="27859221" w14:textId="77777777" w:rsidTr="006A0A57">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0A5BC77A" w14:textId="77777777" w:rsidR="001755DF" w:rsidRPr="0033148D" w:rsidRDefault="001755DF" w:rsidP="0033148D">
            <w:pPr>
              <w:spacing w:after="0" w:line="240" w:lineRule="auto"/>
              <w:rPr>
                <w:rFonts w:eastAsia="Times New Roman" w:cstheme="minorHAnsi"/>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E005062" w14:textId="77777777" w:rsidR="001755DF" w:rsidRPr="0033148D" w:rsidRDefault="001755DF" w:rsidP="0033148D">
            <w:pPr>
              <w:spacing w:after="0" w:line="240" w:lineRule="auto"/>
              <w:jc w:val="center"/>
              <w:rPr>
                <w:rFonts w:eastAsia="Times New Roman" w:cstheme="minorHAnsi"/>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6D18C13A" w14:textId="77777777" w:rsidR="001755DF" w:rsidRPr="0033148D" w:rsidRDefault="001755DF" w:rsidP="0033148D">
            <w:pPr>
              <w:spacing w:after="0" w:line="240" w:lineRule="auto"/>
              <w:jc w:val="center"/>
              <w:rPr>
                <w:rFonts w:eastAsia="Times New Roman" w:cstheme="minorHAnsi"/>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69B9B133" w14:textId="77777777" w:rsidR="001755DF" w:rsidRPr="0033148D" w:rsidRDefault="001755DF" w:rsidP="0033148D">
            <w:pPr>
              <w:spacing w:after="0" w:line="240" w:lineRule="auto"/>
              <w:jc w:val="center"/>
              <w:rPr>
                <w:rFonts w:eastAsia="Times New Roman" w:cstheme="minorHAnsi"/>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13CFD75C" w14:textId="77777777" w:rsidR="001755DF" w:rsidRPr="0033148D" w:rsidRDefault="001755DF" w:rsidP="0033148D">
            <w:pPr>
              <w:spacing w:after="0" w:line="240" w:lineRule="auto"/>
              <w:jc w:val="center"/>
              <w:rPr>
                <w:rFonts w:eastAsia="Times New Roman" w:cstheme="minorHAnsi"/>
                <w:color w:val="000000"/>
                <w:lang w:eastAsia="hr-HR"/>
              </w:rPr>
            </w:pPr>
            <w:r w:rsidRPr="0033148D">
              <w:rPr>
                <w:rFonts w:eastAsia="Times New Roman" w:cstheme="minorHAnsi"/>
                <w:color w:val="000000"/>
                <w:lang w:eastAsia="hr-HR"/>
              </w:rPr>
              <w:t>x</w:t>
            </w:r>
          </w:p>
        </w:tc>
      </w:tr>
      <w:tr w:rsidR="001755DF" w:rsidRPr="0033148D" w14:paraId="7712C37A" w14:textId="77777777" w:rsidTr="00FD1185">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A43CE2F" w14:textId="7646E583" w:rsidR="001755DF" w:rsidRPr="0033148D" w:rsidRDefault="001755DF" w:rsidP="003630D9">
            <w:pPr>
              <w:spacing w:after="0" w:line="240" w:lineRule="auto"/>
              <w:rPr>
                <w:rFonts w:eastAsia="Times New Roman" w:cstheme="minorHAnsi"/>
                <w:b/>
                <w:bCs/>
                <w:color w:val="000000"/>
                <w:lang w:eastAsia="hr-HR"/>
              </w:rPr>
            </w:pPr>
            <w:r w:rsidRPr="0033148D">
              <w:rPr>
                <w:rFonts w:eastAsia="Times New Roman" w:cstheme="minorHAnsi"/>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2649C4E1" w14:textId="17ECF8B3" w:rsidR="001755DF" w:rsidRPr="0033148D" w:rsidRDefault="00EF7016" w:rsidP="0033148D">
            <w:pPr>
              <w:spacing w:after="0" w:line="240" w:lineRule="auto"/>
              <w:rPr>
                <w:rFonts w:eastAsia="Times New Roman" w:cstheme="minorHAnsi"/>
                <w:color w:val="000000"/>
                <w:lang w:eastAsia="hr-HR"/>
              </w:rPr>
            </w:pPr>
            <w:r w:rsidRPr="0033148D">
              <w:rPr>
                <w:rFonts w:ascii="Calibri" w:eastAsia="Times New Roman" w:hAnsi="Calibri" w:cs="Times New Roman"/>
                <w:color w:val="000000"/>
                <w:lang w:eastAsia="hr-HR"/>
              </w:rPr>
              <w:t>Nije bilo izmjena.</w:t>
            </w:r>
          </w:p>
        </w:tc>
      </w:tr>
      <w:tr w:rsidR="001755DF" w:rsidRPr="0033148D" w14:paraId="7E076045" w14:textId="77777777" w:rsidTr="00DF5B9D">
        <w:trPr>
          <w:trHeight w:val="140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E2140F" w14:textId="428B1F7A" w:rsidR="001755DF" w:rsidRPr="0033148D" w:rsidRDefault="001755DF" w:rsidP="003630D9">
            <w:pPr>
              <w:spacing w:after="0" w:line="240" w:lineRule="auto"/>
              <w:rPr>
                <w:rFonts w:eastAsia="Times New Roman" w:cstheme="minorHAnsi"/>
                <w:color w:val="000000"/>
                <w:lang w:eastAsia="hr-HR"/>
              </w:rPr>
            </w:pPr>
            <w:bookmarkStart w:id="10" w:name="_Hlk156292365"/>
            <w:r w:rsidRPr="0033148D">
              <w:rPr>
                <w:rFonts w:eastAsia="Times New Roman" w:cstheme="minorHAnsi"/>
                <w:b/>
                <w:bCs/>
                <w:color w:val="000000"/>
                <w:lang w:eastAsia="hr-HR"/>
              </w:rPr>
              <w:lastRenderedPageBreak/>
              <w:t>Opis rezultata s pokazateljima provedbe</w:t>
            </w:r>
            <w:bookmarkEnd w:id="10"/>
            <w:r w:rsidRPr="0033148D">
              <w:rPr>
                <w:rFonts w:eastAsia="Times New Roman" w:cstheme="minorHAnsi"/>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285D49" w14:textId="77777777" w:rsidR="001755DF" w:rsidRPr="0033148D" w:rsidRDefault="001755DF" w:rsidP="0033148D">
            <w:pPr>
              <w:spacing w:line="240" w:lineRule="auto"/>
              <w:jc w:val="both"/>
              <w:rPr>
                <w:rFonts w:cstheme="minorHAnsi"/>
              </w:rPr>
            </w:pPr>
            <w:r w:rsidRPr="0033148D">
              <w:rPr>
                <w:rFonts w:cstheme="minorHAnsi"/>
                <w:u w:val="single"/>
              </w:rPr>
              <w:t>Provedeno istraživanje o razini znanja i svijesti korisnika o korištenju prava na pristup informacijama na uzorku od 500 ispitanika</w:t>
            </w:r>
            <w:r w:rsidRPr="0033148D">
              <w:rPr>
                <w:rFonts w:cstheme="minorHAnsi"/>
              </w:rPr>
              <w:t xml:space="preserve">: U sklopu projekta „Unaprjeđenje provedbe Zakona o pravu na pristup informacijama“, provedena je telefonska anketa na uzorku od 600 ispitanika, čiji su rezultati dostupni u okviru </w:t>
            </w:r>
            <w:hyperlink r:id="rId15" w:history="1">
              <w:r w:rsidRPr="0033148D">
                <w:rPr>
                  <w:rStyle w:val="Hyperlink"/>
                  <w:rFonts w:cstheme="minorHAnsi"/>
                </w:rPr>
                <w:t>Izvještaja o vrednovanju učinaka Zakona o pravu na pristup informacijama</w:t>
              </w:r>
            </w:hyperlink>
            <w:r w:rsidRPr="0033148D">
              <w:rPr>
                <w:rFonts w:cstheme="minorHAnsi"/>
              </w:rPr>
              <w:t xml:space="preserve">, u poglavlju 7. ANKETNO ISTRAŽIVANJE O UPOZNATOSTI GRAĐANA SA ZPPI. </w:t>
            </w:r>
          </w:p>
          <w:p w14:paraId="408FB18E" w14:textId="7AB1C8FB" w:rsidR="001755DF" w:rsidRPr="0033148D" w:rsidRDefault="001755DF" w:rsidP="0033148D">
            <w:pPr>
              <w:spacing w:line="240" w:lineRule="auto"/>
              <w:jc w:val="both"/>
              <w:rPr>
                <w:rFonts w:cstheme="minorHAnsi"/>
              </w:rPr>
            </w:pPr>
            <w:r w:rsidRPr="0033148D">
              <w:rPr>
                <w:rFonts w:cstheme="minorHAnsi"/>
                <w:u w:val="single"/>
              </w:rPr>
              <w:t xml:space="preserve">Održane 4 </w:t>
            </w:r>
            <w:r w:rsidR="00C830CB">
              <w:rPr>
                <w:rFonts w:cstheme="minorHAnsi"/>
                <w:u w:val="single"/>
              </w:rPr>
              <w:t>posebno prilagođene</w:t>
            </w:r>
            <w:r w:rsidRPr="0033148D">
              <w:rPr>
                <w:rFonts w:cstheme="minorHAnsi"/>
                <w:u w:val="single"/>
              </w:rPr>
              <w:t xml:space="preserve"> edukacije za ciljne skupine korisnika prava na pristup informacijama</w:t>
            </w:r>
            <w:r w:rsidRPr="0033148D">
              <w:rPr>
                <w:rFonts w:cstheme="minorHAnsi"/>
              </w:rPr>
              <w:t xml:space="preserve"> (edukacije za novinare i studente u okviru nastavka Kampanje Pravo na pristup informacijama: Želim znati, želim sudjelovati!):</w:t>
            </w:r>
          </w:p>
          <w:p w14:paraId="639B6E20" w14:textId="77777777" w:rsidR="001755DF" w:rsidRPr="0033148D" w:rsidRDefault="001755DF" w:rsidP="0033148D">
            <w:pPr>
              <w:pStyle w:val="ListParagraph"/>
              <w:numPr>
                <w:ilvl w:val="0"/>
                <w:numId w:val="3"/>
              </w:numPr>
              <w:spacing w:line="240" w:lineRule="auto"/>
              <w:jc w:val="both"/>
              <w:rPr>
                <w:rFonts w:cstheme="minorHAnsi"/>
              </w:rPr>
            </w:pPr>
            <w:r w:rsidRPr="0033148D">
              <w:rPr>
                <w:rFonts w:cstheme="minorHAnsi"/>
              </w:rPr>
              <w:t>2022.: Kampanja „Želim znati, želim sudjelovati“ nastavljena je kroz studijski posjet Povjereniku studenata javne uprave Veleučilišta Lavoslav Ružička iz Vukovara 24. svibnja te održavanjem edukativne radionice za studente Pravnog fakulteta u Osijeku, 6. prosinca. U suradnji s Hrvatskim novinarskim društvom, Povjerenik je 14. prosinca održao radionicu za novinare u Zagrebu.</w:t>
            </w:r>
          </w:p>
          <w:p w14:paraId="5CDC9DC9" w14:textId="77777777" w:rsidR="001755DF" w:rsidRPr="00833FB9" w:rsidRDefault="001755DF" w:rsidP="0033148D">
            <w:pPr>
              <w:pStyle w:val="ListParagraph"/>
              <w:numPr>
                <w:ilvl w:val="0"/>
                <w:numId w:val="3"/>
              </w:numPr>
              <w:spacing w:line="240" w:lineRule="auto"/>
              <w:jc w:val="both"/>
              <w:rPr>
                <w:rFonts w:cstheme="minorHAnsi"/>
              </w:rPr>
            </w:pPr>
            <w:r w:rsidRPr="0033148D">
              <w:rPr>
                <w:rFonts w:cstheme="minorHAnsi"/>
              </w:rPr>
              <w:t xml:space="preserve">2023.: Povjerenik je održao edukaciju za studente Pravnog fakulteta u Osijeku 8. studenog te su održane dvije edukacije za novinare u suradnji s Hrvatskim novinarskim društvom (uživo u Zagrebu, uz mogućnost praćenja </w:t>
            </w:r>
            <w:r w:rsidRPr="0033148D">
              <w:rPr>
                <w:rFonts w:cstheme="minorHAnsi"/>
                <w:i/>
                <w:iCs/>
              </w:rPr>
              <w:t>online</w:t>
            </w:r>
            <w:r w:rsidRPr="0033148D">
              <w:rPr>
                <w:rFonts w:cstheme="minorHAnsi"/>
              </w:rPr>
              <w:t>), i to 15. studenog i 12. prosinca.</w:t>
            </w:r>
          </w:p>
          <w:p w14:paraId="169E11E5" w14:textId="77777777" w:rsidR="001755DF" w:rsidRPr="00833FB9" w:rsidRDefault="001755DF" w:rsidP="0033148D">
            <w:pPr>
              <w:spacing w:line="240" w:lineRule="auto"/>
              <w:jc w:val="both"/>
              <w:rPr>
                <w:rFonts w:cstheme="minorHAnsi"/>
              </w:rPr>
            </w:pPr>
            <w:r w:rsidRPr="00833FB9">
              <w:rPr>
                <w:rFonts w:cstheme="minorHAnsi"/>
                <w:u w:val="single"/>
              </w:rPr>
              <w:t xml:space="preserve">Održana 2 </w:t>
            </w:r>
            <w:proofErr w:type="spellStart"/>
            <w:r w:rsidRPr="00833FB9">
              <w:rPr>
                <w:rFonts w:cstheme="minorHAnsi"/>
                <w:u w:val="single"/>
              </w:rPr>
              <w:t>briefinga</w:t>
            </w:r>
            <w:proofErr w:type="spellEnd"/>
            <w:r w:rsidRPr="00833FB9">
              <w:rPr>
                <w:rFonts w:cstheme="minorHAnsi"/>
                <w:u w:val="single"/>
              </w:rPr>
              <w:t xml:space="preserve"> godišnje</w:t>
            </w:r>
            <w:r w:rsidRPr="00833FB9">
              <w:rPr>
                <w:rFonts w:cstheme="minorHAnsi"/>
              </w:rPr>
              <w:t xml:space="preserve"> (zelene udruge, antikorupcijske udruge u uredu PI):</w:t>
            </w:r>
          </w:p>
          <w:p w14:paraId="49214AEB" w14:textId="77777777" w:rsidR="001755DF" w:rsidRPr="0033148D" w:rsidRDefault="001755DF" w:rsidP="0033148D">
            <w:pPr>
              <w:pStyle w:val="ListParagraph"/>
              <w:numPr>
                <w:ilvl w:val="0"/>
                <w:numId w:val="4"/>
              </w:numPr>
              <w:spacing w:line="240" w:lineRule="auto"/>
              <w:jc w:val="both"/>
              <w:rPr>
                <w:rFonts w:cstheme="minorHAnsi"/>
              </w:rPr>
            </w:pPr>
            <w:r w:rsidRPr="0033148D">
              <w:rPr>
                <w:rFonts w:cstheme="minorHAnsi"/>
              </w:rPr>
              <w:t xml:space="preserve">2022.: </w:t>
            </w:r>
            <w:proofErr w:type="spellStart"/>
            <w:r w:rsidRPr="0033148D">
              <w:rPr>
                <w:rFonts w:cstheme="minorHAnsi"/>
              </w:rPr>
              <w:t>Briefing</w:t>
            </w:r>
            <w:proofErr w:type="spellEnd"/>
            <w:r w:rsidRPr="0033148D">
              <w:rPr>
                <w:rFonts w:cstheme="minorHAnsi"/>
              </w:rPr>
              <w:t xml:space="preserve"> sa zelenim udrugama održan je 3. lipnja </w:t>
            </w:r>
            <w:r w:rsidRPr="0033148D">
              <w:rPr>
                <w:rFonts w:cstheme="minorHAnsi"/>
                <w:i/>
                <w:iCs/>
              </w:rPr>
              <w:t>online</w:t>
            </w:r>
            <w:r w:rsidRPr="0033148D">
              <w:rPr>
                <w:rFonts w:cstheme="minorHAnsi"/>
              </w:rPr>
              <w:t xml:space="preserve"> putem + </w:t>
            </w:r>
            <w:proofErr w:type="spellStart"/>
            <w:r w:rsidRPr="0033148D">
              <w:rPr>
                <w:rFonts w:cstheme="minorHAnsi"/>
              </w:rPr>
              <w:t>briefing</w:t>
            </w:r>
            <w:proofErr w:type="spellEnd"/>
            <w:r w:rsidRPr="0033148D">
              <w:rPr>
                <w:rFonts w:cstheme="minorHAnsi"/>
              </w:rPr>
              <w:t xml:space="preserve"> u okviru konferencije „Pravo na pristup informacijama“, koju je u studenom organiziralo Antikorupcijsko povjerenstvo Krapinsko-zagorske županije</w:t>
            </w:r>
          </w:p>
          <w:p w14:paraId="1D43F336" w14:textId="77777777" w:rsidR="001755DF" w:rsidRPr="0033148D" w:rsidRDefault="001755DF" w:rsidP="0033148D">
            <w:pPr>
              <w:pStyle w:val="ListParagraph"/>
              <w:numPr>
                <w:ilvl w:val="0"/>
                <w:numId w:val="4"/>
              </w:numPr>
              <w:spacing w:line="240" w:lineRule="auto"/>
              <w:jc w:val="both"/>
              <w:rPr>
                <w:rFonts w:cstheme="minorHAnsi"/>
              </w:rPr>
            </w:pPr>
            <w:r w:rsidRPr="0033148D">
              <w:rPr>
                <w:rFonts w:cstheme="minorHAnsi"/>
              </w:rPr>
              <w:t xml:space="preserve">2023.: </w:t>
            </w:r>
            <w:proofErr w:type="spellStart"/>
            <w:r w:rsidRPr="0033148D">
              <w:rPr>
                <w:rFonts w:cstheme="minorHAnsi"/>
              </w:rPr>
              <w:t>Briefing</w:t>
            </w:r>
            <w:proofErr w:type="spellEnd"/>
            <w:r w:rsidRPr="0033148D">
              <w:rPr>
                <w:rFonts w:cstheme="minorHAnsi"/>
              </w:rPr>
              <w:t xml:space="preserve"> za zelene udruge održan je 27. studenog u Uredu povjerenika + </w:t>
            </w:r>
            <w:proofErr w:type="spellStart"/>
            <w:r w:rsidRPr="0033148D">
              <w:rPr>
                <w:rFonts w:cstheme="minorHAnsi"/>
              </w:rPr>
              <w:t>briefing</w:t>
            </w:r>
            <w:proofErr w:type="spellEnd"/>
            <w:r w:rsidRPr="0033148D">
              <w:rPr>
                <w:rFonts w:cstheme="minorHAnsi"/>
              </w:rPr>
              <w:t xml:space="preserve"> u okviru konferencije „Korupcija i </w:t>
            </w:r>
            <w:proofErr w:type="spellStart"/>
            <w:r w:rsidRPr="0033148D">
              <w:rPr>
                <w:rFonts w:cstheme="minorHAnsi"/>
              </w:rPr>
              <w:t>klijentelizam</w:t>
            </w:r>
            <w:proofErr w:type="spellEnd"/>
            <w:r w:rsidRPr="0033148D">
              <w:rPr>
                <w:rFonts w:cstheme="minorHAnsi"/>
              </w:rPr>
              <w:t>“, koju je u svibnju organiziralo Antikorupcijsko povjerenstvo Krapinsko-zagorske županije.</w:t>
            </w:r>
          </w:p>
          <w:p w14:paraId="52D6304A" w14:textId="77777777" w:rsidR="001755DF" w:rsidRPr="0033148D" w:rsidRDefault="001755DF" w:rsidP="0033148D">
            <w:pPr>
              <w:spacing w:line="240" w:lineRule="auto"/>
              <w:jc w:val="both"/>
              <w:rPr>
                <w:rFonts w:cstheme="minorHAnsi"/>
              </w:rPr>
            </w:pPr>
            <w:r w:rsidRPr="0033148D">
              <w:rPr>
                <w:rFonts w:cstheme="minorHAnsi"/>
                <w:u w:val="single"/>
              </w:rPr>
              <w:t>Periodična objava standarda postupanja u ostvarivanju prava na pristup informacijama, temeljenih na rješenjima Povjerenika za informiranje i Visokog upravnog suda RH, radi informiranja korisnika</w:t>
            </w:r>
            <w:r w:rsidRPr="0033148D">
              <w:rPr>
                <w:rFonts w:cstheme="minorHAnsi"/>
              </w:rPr>
              <w:t>: U rubrici „Iz prakse Povjerenika“ tijekom 2022. objavljeno je 15, a tijekom 2023. 14 mišljenja, uputa i sažetaka odluka Povjerenika (</w:t>
            </w:r>
            <w:hyperlink r:id="rId16" w:history="1">
              <w:r w:rsidRPr="0033148D">
                <w:rPr>
                  <w:rStyle w:val="Hyperlink"/>
                  <w:rFonts w:cstheme="minorHAnsi"/>
                </w:rPr>
                <w:t>https://pristupinfo.hr/praksa-povjerenika-za-informiranje/</w:t>
              </w:r>
            </w:hyperlink>
            <w:r w:rsidRPr="0033148D">
              <w:rPr>
                <w:rFonts w:cstheme="minorHAnsi"/>
              </w:rPr>
              <w:t xml:space="preserve">). </w:t>
            </w:r>
          </w:p>
        </w:tc>
      </w:tr>
      <w:tr w:rsidR="001755DF" w:rsidRPr="0033148D" w14:paraId="20228878" w14:textId="77777777" w:rsidTr="004C73DF">
        <w:trPr>
          <w:trHeight w:val="77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D6897C8" w14:textId="5752C187" w:rsidR="001755DF" w:rsidRPr="0033148D" w:rsidRDefault="001755DF" w:rsidP="003630D9">
            <w:pPr>
              <w:spacing w:after="0" w:line="240" w:lineRule="auto"/>
              <w:rPr>
                <w:rFonts w:eastAsia="Times New Roman" w:cstheme="minorHAnsi"/>
                <w:i/>
                <w:iCs/>
                <w:color w:val="000000"/>
                <w:lang w:eastAsia="hr-HR"/>
              </w:rPr>
            </w:pPr>
            <w:r w:rsidRPr="0033148D">
              <w:rPr>
                <w:rFonts w:eastAsia="Times New Roman" w:cstheme="minorHAnsi"/>
                <w:b/>
                <w:bCs/>
                <w:color w:val="000000"/>
                <w:lang w:eastAsia="hr-HR"/>
              </w:rPr>
              <w:t>Dodatne informacije:</w:t>
            </w:r>
            <w:r w:rsidRPr="0033148D">
              <w:rPr>
                <w:rFonts w:eastAsia="Times New Roman" w:cstheme="minorHAnsi"/>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93C612"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 xml:space="preserve">U provedbi navedene aktivnosti najveći izazov odnosio se na doseg u distribuciji poziva i odaziv korisnika prava na pristup informacijama prilikom održavanja edukacija/radionica, uključujući novinare, kao i ograničeni interes organizacija civilnog društva za održavanjem </w:t>
            </w:r>
            <w:proofErr w:type="spellStart"/>
            <w:r w:rsidRPr="0033148D">
              <w:rPr>
                <w:rFonts w:eastAsia="Times New Roman" w:cstheme="minorHAnsi"/>
                <w:color w:val="000000"/>
                <w:lang w:eastAsia="hr-HR"/>
              </w:rPr>
              <w:t>briefinga</w:t>
            </w:r>
            <w:proofErr w:type="spellEnd"/>
            <w:r w:rsidRPr="0033148D">
              <w:rPr>
                <w:rFonts w:eastAsia="Times New Roman" w:cstheme="minorHAnsi"/>
                <w:color w:val="000000"/>
                <w:lang w:eastAsia="hr-HR"/>
              </w:rPr>
              <w:t>.</w:t>
            </w:r>
          </w:p>
        </w:tc>
      </w:tr>
      <w:tr w:rsidR="001755DF" w:rsidRPr="0033148D" w14:paraId="3C734D9E" w14:textId="77777777" w:rsidTr="003630D9">
        <w:trPr>
          <w:trHeight w:val="565"/>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7DA1498" w14:textId="09E5F725" w:rsidR="001755DF" w:rsidRPr="0033148D" w:rsidRDefault="001755DF" w:rsidP="003630D9">
            <w:pPr>
              <w:spacing w:line="240" w:lineRule="auto"/>
              <w:rPr>
                <w:rFonts w:eastAsia="Times New Roman" w:cstheme="minorHAnsi"/>
                <w:color w:val="000000"/>
                <w:lang w:eastAsia="hr-HR"/>
              </w:rPr>
            </w:pPr>
            <w:r w:rsidRPr="0033148D">
              <w:rPr>
                <w:rFonts w:cstheme="minorHAnsi"/>
                <w:b/>
                <w:bCs/>
                <w:lang w:eastAsia="hr-HR"/>
              </w:rPr>
              <w:t>Sljedeći koraci</w:t>
            </w:r>
            <w:r w:rsidRPr="0033148D">
              <w:rPr>
                <w:rFonts w:cstheme="minorHAnsi"/>
                <w:b/>
                <w:bCs/>
                <w:i/>
                <w:i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455037B" w14:textId="77777777" w:rsidR="001755DF" w:rsidRPr="0033148D" w:rsidRDefault="001755DF" w:rsidP="0033148D">
            <w:pPr>
              <w:spacing w:after="0" w:line="240" w:lineRule="auto"/>
              <w:jc w:val="both"/>
              <w:rPr>
                <w:rFonts w:eastAsia="Times New Roman" w:cstheme="minorHAnsi"/>
                <w:color w:val="000000"/>
                <w:lang w:eastAsia="hr-HR"/>
              </w:rPr>
            </w:pPr>
            <w:r w:rsidRPr="0033148D">
              <w:rPr>
                <w:rFonts w:eastAsia="Times New Roman" w:cstheme="minorHAnsi"/>
                <w:color w:val="000000"/>
                <w:lang w:eastAsia="hr-HR"/>
              </w:rPr>
              <w:t>Ured povjerenice za informiranje planira nastaviti s provedbom edukacija za ciljne skupine korisnika prava na pristup informacijama te nastavlja kontinuirano objavljivati standarde postupanja u rubrici „Iz prakse Povjerenika“.</w:t>
            </w:r>
          </w:p>
        </w:tc>
      </w:tr>
    </w:tbl>
    <w:p w14:paraId="2E756843" w14:textId="77777777" w:rsidR="001755DF" w:rsidRPr="0033148D" w:rsidRDefault="001755DF" w:rsidP="0033148D">
      <w:pPr>
        <w:spacing w:line="240" w:lineRule="auto"/>
        <w:rPr>
          <w:rFonts w:cstheme="minorHAnsi"/>
        </w:rPr>
      </w:pPr>
    </w:p>
    <w:tbl>
      <w:tblPr>
        <w:tblW w:w="14884" w:type="dxa"/>
        <w:jc w:val="center"/>
        <w:tblLook w:val="04A0" w:firstRow="1" w:lastRow="0" w:firstColumn="1" w:lastColumn="0" w:noHBand="0" w:noVBand="1"/>
      </w:tblPr>
      <w:tblGrid>
        <w:gridCol w:w="1843"/>
        <w:gridCol w:w="2405"/>
        <w:gridCol w:w="2414"/>
        <w:gridCol w:w="2410"/>
        <w:gridCol w:w="2552"/>
        <w:gridCol w:w="3260"/>
      </w:tblGrid>
      <w:tr w:rsidR="001755DF" w:rsidRPr="0033148D" w14:paraId="69ED556B" w14:textId="77777777" w:rsidTr="00D437CF">
        <w:trPr>
          <w:trHeight w:val="70"/>
          <w:jc w:val="center"/>
        </w:trPr>
        <w:tc>
          <w:tcPr>
            <w:tcW w:w="14884"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8B23E7" w14:textId="654B2167" w:rsidR="001755DF"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lastRenderedPageBreak/>
              <w:t xml:space="preserve">Aktivnost </w:t>
            </w:r>
            <w:r w:rsidR="001755DF" w:rsidRPr="0033148D">
              <w:rPr>
                <w:rFonts w:ascii="Calibri" w:eastAsia="Times New Roman" w:hAnsi="Calibri" w:cs="Times New Roman"/>
                <w:b/>
                <w:bCs/>
                <w:color w:val="000000"/>
                <w:lang w:eastAsia="hr-HR"/>
              </w:rPr>
              <w:t>1.2. Provoditi edukacije o pravu na pristup informacijama za službenike koji u svom radu primjenjuju odredbe Zakona o pravu na pristup informacijama</w:t>
            </w:r>
          </w:p>
        </w:tc>
      </w:tr>
      <w:tr w:rsidR="001755DF" w:rsidRPr="0033148D" w14:paraId="5185F3AF" w14:textId="77777777" w:rsidTr="00D437CF">
        <w:trPr>
          <w:trHeight w:val="463"/>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F41CCA6" w14:textId="5C683F69" w:rsidR="001755DF" w:rsidRPr="0033148D" w:rsidRDefault="00EF701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A54C7E8"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Povjerenik za informiranje</w:t>
            </w:r>
          </w:p>
        </w:tc>
      </w:tr>
      <w:tr w:rsidR="001755DF" w:rsidRPr="0033148D" w14:paraId="5FEF4475" w14:textId="77777777" w:rsidTr="00D437CF">
        <w:trPr>
          <w:trHeight w:val="744"/>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5802DCB" w14:textId="2CE919F2" w:rsidR="001755DF" w:rsidRPr="0033148D" w:rsidRDefault="00EF7016"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tcPr>
          <w:p w14:paraId="5169B91C"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 Državna škola za javnu upravu, Državno odvjetništvo Republike Hrvatske, Agencija za zaštitu osobnih podataka</w:t>
            </w:r>
          </w:p>
        </w:tc>
      </w:tr>
      <w:tr w:rsidR="00DF5B9D" w:rsidRPr="0033148D" w14:paraId="509A29FE" w14:textId="77777777" w:rsidTr="00D437CF">
        <w:trPr>
          <w:trHeight w:val="228"/>
          <w:jc w:val="center"/>
        </w:trPr>
        <w:tc>
          <w:tcPr>
            <w:tcW w:w="1843" w:type="dxa"/>
            <w:vMerge w:val="restart"/>
            <w:tcBorders>
              <w:top w:val="nil"/>
              <w:left w:val="single" w:sz="4" w:space="0" w:color="auto"/>
              <w:bottom w:val="single" w:sz="4" w:space="0" w:color="auto"/>
              <w:right w:val="single" w:sz="4" w:space="0" w:color="auto"/>
            </w:tcBorders>
            <w:shd w:val="clear" w:color="auto" w:fill="F2F2F2"/>
            <w:vAlign w:val="center"/>
            <w:hideMark/>
          </w:tcPr>
          <w:p w14:paraId="79221BCF" w14:textId="77777777" w:rsidR="00DF5B9D" w:rsidRPr="0033148D" w:rsidRDefault="00DF5B9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405" w:type="dxa"/>
            <w:tcBorders>
              <w:top w:val="nil"/>
              <w:left w:val="nil"/>
              <w:bottom w:val="single" w:sz="4" w:space="0" w:color="auto"/>
              <w:right w:val="single" w:sz="4" w:space="0" w:color="auto"/>
            </w:tcBorders>
            <w:shd w:val="clear" w:color="auto" w:fill="F2F2F2"/>
            <w:vAlign w:val="center"/>
            <w:hideMark/>
          </w:tcPr>
          <w:p w14:paraId="2C91D634" w14:textId="77777777" w:rsidR="00DF5B9D" w:rsidRPr="0033148D" w:rsidRDefault="00DF5B9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636" w:type="dxa"/>
            <w:gridSpan w:val="4"/>
            <w:tcBorders>
              <w:top w:val="single" w:sz="4" w:space="0" w:color="auto"/>
              <w:left w:val="nil"/>
              <w:bottom w:val="single" w:sz="4" w:space="0" w:color="auto"/>
              <w:right w:val="single" w:sz="4" w:space="0" w:color="000000"/>
            </w:tcBorders>
            <w:noWrap/>
            <w:vAlign w:val="center"/>
          </w:tcPr>
          <w:p w14:paraId="71D3420F" w14:textId="77777777" w:rsidR="00DF5B9D" w:rsidRPr="0033148D" w:rsidRDefault="00DF5B9D" w:rsidP="0033148D">
            <w:pPr>
              <w:spacing w:after="0" w:line="240" w:lineRule="auto"/>
              <w:rPr>
                <w:rFonts w:ascii="Calibri" w:eastAsia="Times New Roman" w:hAnsi="Calibri" w:cs="Times New Roman"/>
                <w:color w:val="000000"/>
                <w:lang w:eastAsia="hr-HR"/>
              </w:rPr>
            </w:pPr>
          </w:p>
        </w:tc>
      </w:tr>
      <w:tr w:rsidR="00DF5B9D" w:rsidRPr="0033148D" w14:paraId="49185D53" w14:textId="77777777" w:rsidTr="00D437CF">
        <w:trPr>
          <w:trHeight w:val="70"/>
          <w:jc w:val="center"/>
        </w:trPr>
        <w:tc>
          <w:tcPr>
            <w:tcW w:w="1843" w:type="dxa"/>
            <w:vMerge/>
            <w:tcBorders>
              <w:top w:val="nil"/>
              <w:left w:val="single" w:sz="4" w:space="0" w:color="auto"/>
              <w:bottom w:val="single" w:sz="4" w:space="0" w:color="auto"/>
              <w:right w:val="single" w:sz="4" w:space="0" w:color="auto"/>
            </w:tcBorders>
            <w:vAlign w:val="center"/>
            <w:hideMark/>
          </w:tcPr>
          <w:p w14:paraId="4549C885" w14:textId="77777777" w:rsidR="00DF5B9D" w:rsidRPr="0033148D" w:rsidRDefault="00DF5B9D" w:rsidP="0033148D">
            <w:pPr>
              <w:spacing w:after="0" w:line="240" w:lineRule="auto"/>
              <w:rPr>
                <w:rFonts w:ascii="Calibri" w:eastAsia="Times New Roman" w:hAnsi="Calibri" w:cs="Times New Roman"/>
                <w:b/>
                <w:bCs/>
                <w:color w:val="000000"/>
                <w:lang w:eastAsia="hr-HR"/>
              </w:rPr>
            </w:pPr>
          </w:p>
        </w:tc>
        <w:tc>
          <w:tcPr>
            <w:tcW w:w="2405" w:type="dxa"/>
            <w:tcBorders>
              <w:top w:val="nil"/>
              <w:left w:val="nil"/>
              <w:bottom w:val="single" w:sz="4" w:space="0" w:color="auto"/>
              <w:right w:val="single" w:sz="4" w:space="0" w:color="auto"/>
            </w:tcBorders>
            <w:shd w:val="clear" w:color="auto" w:fill="F2F2F2"/>
            <w:vAlign w:val="center"/>
            <w:hideMark/>
          </w:tcPr>
          <w:p w14:paraId="3A9E6897" w14:textId="77777777" w:rsidR="00DF5B9D" w:rsidRPr="0033148D" w:rsidRDefault="00DF5B9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636" w:type="dxa"/>
            <w:gridSpan w:val="4"/>
            <w:tcBorders>
              <w:top w:val="single" w:sz="4" w:space="0" w:color="auto"/>
              <w:left w:val="nil"/>
              <w:bottom w:val="single" w:sz="4" w:space="0" w:color="auto"/>
              <w:right w:val="single" w:sz="4" w:space="0" w:color="000000"/>
            </w:tcBorders>
            <w:noWrap/>
            <w:vAlign w:val="center"/>
            <w:hideMark/>
          </w:tcPr>
          <w:p w14:paraId="6A1F2D43" w14:textId="77777777" w:rsidR="00DF5B9D" w:rsidRPr="0033148D" w:rsidRDefault="00DF5B9D" w:rsidP="0033148D">
            <w:pPr>
              <w:spacing w:after="0" w:line="240" w:lineRule="auto"/>
              <w:rPr>
                <w:rFonts w:ascii="Calibri" w:eastAsia="Times New Roman" w:hAnsi="Calibri" w:cs="Times New Roman"/>
                <w:color w:val="000000"/>
                <w:lang w:eastAsia="hr-HR"/>
              </w:rPr>
            </w:pPr>
            <w:r w:rsidRPr="0033148D">
              <w:t>OCD, JLP(R)S</w:t>
            </w:r>
          </w:p>
        </w:tc>
      </w:tr>
      <w:tr w:rsidR="001755DF" w:rsidRPr="0033148D" w14:paraId="3604ACA1" w14:textId="77777777" w:rsidTr="001B696E">
        <w:trPr>
          <w:trHeight w:val="474"/>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658FF15" w14:textId="1678BF20"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tcPr>
          <w:p w14:paraId="4F3EC47C" w14:textId="77777777" w:rsidR="001755DF" w:rsidRPr="0033148D" w:rsidRDefault="00C3788A"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trav</w:t>
            </w:r>
            <w:r w:rsidR="00851C76" w:rsidRPr="0033148D">
              <w:rPr>
                <w:rFonts w:ascii="Calibri" w:eastAsia="Times New Roman" w:hAnsi="Calibri" w:cs="Times New Roman"/>
                <w:color w:val="000000"/>
                <w:lang w:eastAsia="hr-HR"/>
              </w:rPr>
              <w:t>a</w:t>
            </w:r>
            <w:r w:rsidRPr="0033148D">
              <w:rPr>
                <w:rFonts w:ascii="Calibri" w:eastAsia="Times New Roman" w:hAnsi="Calibri" w:cs="Times New Roman"/>
                <w:color w:val="000000"/>
                <w:lang w:eastAsia="hr-HR"/>
              </w:rPr>
              <w:t xml:space="preserve">nj </w:t>
            </w:r>
            <w:r w:rsidR="001755DF" w:rsidRPr="0033148D">
              <w:rPr>
                <w:rFonts w:ascii="Calibri" w:eastAsia="Times New Roman" w:hAnsi="Calibri" w:cs="Times New Roman"/>
                <w:color w:val="000000"/>
                <w:lang w:eastAsia="hr-HR"/>
              </w:rPr>
              <w:t>2022.</w:t>
            </w:r>
            <w:r w:rsidR="00DF5B9D" w:rsidRPr="0033148D">
              <w:rPr>
                <w:rFonts w:ascii="Calibri" w:eastAsia="Times New Roman" w:hAnsi="Calibri" w:cs="Times New Roman"/>
                <w:color w:val="000000"/>
                <w:lang w:eastAsia="hr-HR"/>
              </w:rPr>
              <w:t xml:space="preserve"> </w:t>
            </w:r>
          </w:p>
        </w:tc>
      </w:tr>
      <w:tr w:rsidR="001755DF" w:rsidRPr="0033148D" w14:paraId="0B36DCDE" w14:textId="77777777" w:rsidTr="001B696E">
        <w:trPr>
          <w:trHeight w:val="474"/>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1D8CDE5" w14:textId="3148E9F8"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tcPr>
          <w:p w14:paraId="155F7C79"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755DF" w:rsidRPr="0033148D" w14:paraId="1B70150B" w14:textId="77777777" w:rsidTr="00D437CF">
        <w:trPr>
          <w:trHeight w:val="300"/>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7AC3E67" w14:textId="63CAEF31" w:rsidR="001755DF" w:rsidRPr="0033148D" w:rsidRDefault="00EF701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tcPr>
          <w:p w14:paraId="15E2B1D0"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Provedba edukacija u okviru temeljnog i naprednog modula programa Pravo na pristup informacijama putem sustava Državne škole za javnu upravu – 4 godišnje</w:t>
            </w:r>
          </w:p>
          <w:p w14:paraId="34CC3B79"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Provedba edukacija programa „</w:t>
            </w:r>
            <w:proofErr w:type="spellStart"/>
            <w:r w:rsidRPr="0033148D">
              <w:rPr>
                <w:rFonts w:ascii="Calibri" w:eastAsia="Times New Roman" w:hAnsi="Calibri" w:cs="Times New Roman"/>
                <w:color w:val="000000"/>
                <w:lang w:eastAsia="hr-HR"/>
              </w:rPr>
              <w:t>Proaktivna</w:t>
            </w:r>
            <w:proofErr w:type="spellEnd"/>
            <w:r w:rsidRPr="0033148D">
              <w:rPr>
                <w:rFonts w:ascii="Calibri" w:eastAsia="Times New Roman" w:hAnsi="Calibri" w:cs="Times New Roman"/>
                <w:color w:val="000000"/>
                <w:lang w:eastAsia="hr-HR"/>
              </w:rPr>
              <w:t xml:space="preserve"> objava informacija i otvoreni podaci“ putem sustava Državne škole za javnu upravu – 2 godišnje</w:t>
            </w:r>
          </w:p>
          <w:p w14:paraId="1A1272AB"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Održavanje najmanje 8 tematskih </w:t>
            </w:r>
            <w:proofErr w:type="spellStart"/>
            <w:r w:rsidRPr="0033148D">
              <w:rPr>
                <w:rFonts w:ascii="Calibri" w:eastAsia="Times New Roman" w:hAnsi="Calibri" w:cs="Times New Roman"/>
                <w:color w:val="000000"/>
                <w:lang w:eastAsia="hr-HR"/>
              </w:rPr>
              <w:t>webinara</w:t>
            </w:r>
            <w:proofErr w:type="spellEnd"/>
            <w:r w:rsidRPr="0033148D">
              <w:rPr>
                <w:rFonts w:ascii="Calibri" w:eastAsia="Times New Roman" w:hAnsi="Calibri" w:cs="Times New Roman"/>
                <w:color w:val="000000"/>
                <w:lang w:eastAsia="hr-HR"/>
              </w:rPr>
              <w:t xml:space="preserve"> godišnje</w:t>
            </w:r>
          </w:p>
          <w:p w14:paraId="50C5B834"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Održavanje godišnjeg stručnog savjetovanja službenika za informiranje</w:t>
            </w:r>
          </w:p>
          <w:p w14:paraId="4C387191"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Izrada smjernica o primjeni apsolutnog ograničenja prava na pristup informacija</w:t>
            </w:r>
          </w:p>
          <w:p w14:paraId="2C6996E0"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Izrada smjernice o ostvarivanju prava na pristup informacijama u odnosu na zaštitu osobnih podataka</w:t>
            </w:r>
          </w:p>
          <w:p w14:paraId="69CDE8FD" w14:textId="77777777" w:rsidR="001755DF" w:rsidRPr="0033148D" w:rsidRDefault="001755DF" w:rsidP="0033148D">
            <w:pPr>
              <w:pStyle w:val="ListParagraph"/>
              <w:numPr>
                <w:ilvl w:val="0"/>
                <w:numId w:val="13"/>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Stručna dorada i </w:t>
            </w:r>
            <w:proofErr w:type="spellStart"/>
            <w:r w:rsidRPr="0033148D">
              <w:rPr>
                <w:rFonts w:ascii="Calibri" w:eastAsia="Times New Roman" w:hAnsi="Calibri" w:cs="Times New Roman"/>
                <w:color w:val="000000"/>
                <w:lang w:eastAsia="hr-HR"/>
              </w:rPr>
              <w:t>noveliranje</w:t>
            </w:r>
            <w:proofErr w:type="spellEnd"/>
            <w:r w:rsidRPr="0033148D">
              <w:rPr>
                <w:rFonts w:ascii="Calibri" w:eastAsia="Times New Roman" w:hAnsi="Calibri" w:cs="Times New Roman"/>
                <w:color w:val="000000"/>
                <w:lang w:eastAsia="hr-HR"/>
              </w:rPr>
              <w:t xml:space="preserve"> postojećih uputa i smjernica Povjerenika za informiranje</w:t>
            </w:r>
          </w:p>
        </w:tc>
      </w:tr>
      <w:tr w:rsidR="001755DF" w:rsidRPr="0033148D" w14:paraId="2959269F" w14:textId="77777777" w:rsidTr="00D437CF">
        <w:trPr>
          <w:trHeight w:val="718"/>
          <w:jc w:val="center"/>
        </w:trPr>
        <w:tc>
          <w:tcPr>
            <w:tcW w:w="4248"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7D5D112" w14:textId="7FB3B2A5" w:rsidR="001755DF" w:rsidRPr="0033148D" w:rsidRDefault="001755DF"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414"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0C24F7F"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29707834"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AC03E27"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260" w:type="dxa"/>
            <w:tcBorders>
              <w:top w:val="single" w:sz="4" w:space="0" w:color="auto"/>
              <w:left w:val="nil"/>
              <w:bottom w:val="single" w:sz="4" w:space="0" w:color="auto"/>
              <w:right w:val="single" w:sz="4" w:space="0" w:color="auto"/>
            </w:tcBorders>
            <w:shd w:val="clear" w:color="000000" w:fill="F2F2F2"/>
            <w:vAlign w:val="center"/>
            <w:hideMark/>
          </w:tcPr>
          <w:p w14:paraId="1C1D4127"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755DF" w:rsidRPr="0033148D" w14:paraId="4516CC43" w14:textId="77777777" w:rsidTr="00D437CF">
        <w:trPr>
          <w:trHeight w:val="642"/>
          <w:jc w:val="center"/>
        </w:trPr>
        <w:tc>
          <w:tcPr>
            <w:tcW w:w="4248" w:type="dxa"/>
            <w:gridSpan w:val="2"/>
            <w:vMerge/>
            <w:tcBorders>
              <w:top w:val="single" w:sz="4" w:space="0" w:color="auto"/>
              <w:left w:val="single" w:sz="4" w:space="0" w:color="auto"/>
              <w:bottom w:val="single" w:sz="4" w:space="0" w:color="auto"/>
              <w:right w:val="single" w:sz="4" w:space="0" w:color="000000"/>
            </w:tcBorders>
            <w:vAlign w:val="center"/>
            <w:hideMark/>
          </w:tcPr>
          <w:p w14:paraId="5C2B771B" w14:textId="77777777" w:rsidR="001755DF" w:rsidRPr="0033148D" w:rsidRDefault="001755DF" w:rsidP="0033148D">
            <w:pPr>
              <w:spacing w:after="0" w:line="240" w:lineRule="auto"/>
              <w:rPr>
                <w:rFonts w:ascii="Calibri" w:eastAsia="Times New Roman" w:hAnsi="Calibri" w:cs="Times New Roman"/>
                <w:b/>
                <w:bCs/>
                <w:color w:val="000000"/>
                <w:lang w:eastAsia="hr-HR"/>
              </w:rPr>
            </w:pPr>
          </w:p>
        </w:tc>
        <w:tc>
          <w:tcPr>
            <w:tcW w:w="2414" w:type="dxa"/>
            <w:tcBorders>
              <w:top w:val="nil"/>
              <w:left w:val="nil"/>
              <w:bottom w:val="single" w:sz="4" w:space="0" w:color="auto"/>
              <w:right w:val="single" w:sz="4" w:space="0" w:color="auto"/>
            </w:tcBorders>
            <w:shd w:val="clear" w:color="auto" w:fill="auto"/>
            <w:noWrap/>
            <w:vAlign w:val="center"/>
            <w:hideMark/>
          </w:tcPr>
          <w:p w14:paraId="0A851C61"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2F9E7959"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6DA22971"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3260" w:type="dxa"/>
            <w:tcBorders>
              <w:top w:val="nil"/>
              <w:left w:val="nil"/>
              <w:bottom w:val="single" w:sz="4" w:space="0" w:color="auto"/>
              <w:right w:val="single" w:sz="4" w:space="0" w:color="auto"/>
            </w:tcBorders>
            <w:shd w:val="clear" w:color="auto" w:fill="A8D08D" w:themeFill="accent6" w:themeFillTint="99"/>
            <w:noWrap/>
            <w:vAlign w:val="center"/>
            <w:hideMark/>
          </w:tcPr>
          <w:p w14:paraId="011CB34A"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1755DF" w:rsidRPr="0033148D" w14:paraId="550D52FC" w14:textId="77777777" w:rsidTr="00D437CF">
        <w:trPr>
          <w:trHeight w:val="2549"/>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A710E4" w14:textId="658DC390" w:rsidR="001755DF" w:rsidRPr="0033148D" w:rsidRDefault="001755DF" w:rsidP="003630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 xml:space="preserve">Izmjene aktivnosti: </w:t>
            </w:r>
          </w:p>
        </w:tc>
        <w:tc>
          <w:tcPr>
            <w:tcW w:w="106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3FC502" w14:textId="526FBD7A" w:rsidR="001755DF" w:rsidRPr="0033148D" w:rsidRDefault="001755DF" w:rsidP="0033148D">
            <w:pPr>
              <w:spacing w:after="0" w:line="240" w:lineRule="auto"/>
              <w:jc w:val="both"/>
            </w:pPr>
            <w:r w:rsidRPr="0033148D">
              <w:rPr>
                <w:rFonts w:ascii="Calibri" w:eastAsia="Times New Roman" w:hAnsi="Calibri" w:cs="Times New Roman"/>
                <w:color w:val="000000"/>
                <w:lang w:eastAsia="hr-HR"/>
              </w:rPr>
              <w:t xml:space="preserve">Izmjena aktivnosti se odnosila na modifikaciju u provedbi edukacije programa </w:t>
            </w:r>
            <w:r w:rsidRPr="0033148D">
              <w:t>„</w:t>
            </w:r>
            <w:proofErr w:type="spellStart"/>
            <w:r w:rsidRPr="0033148D">
              <w:t>Proaktivna</w:t>
            </w:r>
            <w:proofErr w:type="spellEnd"/>
            <w:r w:rsidRPr="0033148D">
              <w:t xml:space="preserve"> objava informacija i otvoreni podaci“ putem sustava Državne škole za javnu upravu. Navedeni program je iz praktičnih razloga transformiran na način da se o otvorenim podacima održava </w:t>
            </w:r>
            <w:r w:rsidRPr="0033148D">
              <w:rPr>
                <w:i/>
                <w:iCs/>
              </w:rPr>
              <w:t>online</w:t>
            </w:r>
            <w:r w:rsidRPr="0033148D">
              <w:t xml:space="preserve"> radionica „Ponovna uporaba informacija i otvoreni podaci“, preko </w:t>
            </w:r>
            <w:proofErr w:type="spellStart"/>
            <w:r w:rsidRPr="0033148D">
              <w:t>Moodle</w:t>
            </w:r>
            <w:proofErr w:type="spellEnd"/>
            <w:r w:rsidRPr="0033148D">
              <w:t xml:space="preserve"> platforme DŠJU-a, a </w:t>
            </w:r>
            <w:proofErr w:type="spellStart"/>
            <w:r w:rsidRPr="0033148D">
              <w:t>proaktivna</w:t>
            </w:r>
            <w:proofErr w:type="spellEnd"/>
            <w:r w:rsidRPr="0033148D">
              <w:t xml:space="preserve"> objava informacija se temeljito obrađuje u okviru osnovnog modula Pravo na pristup informacijama, s pregledom internetskih stranica tijela javne vlasti te na </w:t>
            </w:r>
            <w:r w:rsidR="00C830CB">
              <w:t>posebno prilagođenim</w:t>
            </w:r>
            <w:r w:rsidRPr="0033148D">
              <w:t xml:space="preserve"> i regionalnim edukacijama.</w:t>
            </w:r>
          </w:p>
          <w:p w14:paraId="0375B0D3"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Također, stručna dorada i </w:t>
            </w:r>
            <w:proofErr w:type="spellStart"/>
            <w:r w:rsidRPr="0033148D">
              <w:rPr>
                <w:rFonts w:ascii="Calibri" w:eastAsia="Times New Roman" w:hAnsi="Calibri" w:cs="Times New Roman"/>
                <w:color w:val="000000"/>
                <w:lang w:eastAsia="hr-HR"/>
              </w:rPr>
              <w:t>noveliranje</w:t>
            </w:r>
            <w:proofErr w:type="spellEnd"/>
            <w:r w:rsidRPr="0033148D">
              <w:rPr>
                <w:rFonts w:ascii="Calibri" w:eastAsia="Times New Roman" w:hAnsi="Calibri" w:cs="Times New Roman"/>
                <w:color w:val="000000"/>
                <w:lang w:eastAsia="hr-HR"/>
              </w:rPr>
              <w:t xml:space="preserve"> postojećih uputa i smjernica nije obuhvatilo izmjene ranije donesenih materijala koje je izradio Povjerenik za informiranje, već je, s obzirom na to da je u tijeku bila provedba projekta evaluacije, odnosno vrednovanje učinaka Zakona o pravu na pristup informacijama, navedena aktivnost ispunjena kroz donošenje novih smjernica, davanje preporuka i mišljenja tijelima javne vlasti, objavu standarda postupanja i prakse Povjerenika, edukacijske i promotivne aktivnosti itd.</w:t>
            </w:r>
          </w:p>
        </w:tc>
      </w:tr>
      <w:tr w:rsidR="001755DF" w:rsidRPr="0033148D" w14:paraId="585E6E10" w14:textId="77777777" w:rsidTr="004C73DF">
        <w:trPr>
          <w:trHeight w:val="564"/>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35808F" w14:textId="0A9A50C7" w:rsidR="001755DF" w:rsidRPr="0033148D" w:rsidRDefault="001755DF" w:rsidP="003630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E91E72F" w14:textId="77777777" w:rsidR="001755DF" w:rsidRPr="0033148D" w:rsidRDefault="001755DF" w:rsidP="0033148D">
            <w:pPr>
              <w:pStyle w:val="ListParagraph"/>
              <w:numPr>
                <w:ilvl w:val="0"/>
                <w:numId w:val="14"/>
              </w:numPr>
              <w:spacing w:line="240" w:lineRule="auto"/>
              <w:jc w:val="both"/>
            </w:pPr>
            <w:r w:rsidRPr="0033148D">
              <w:rPr>
                <w:u w:val="single"/>
              </w:rPr>
              <w:t xml:space="preserve">Provedba edukacija u okviru temeljnog i naprednog modula programa Pravo na pristup informacijama putem sustava Državne škole za javnu </w:t>
            </w:r>
            <w:r w:rsidRPr="0033148D">
              <w:t>upravu – 4 godišnje: U 2022. su u suradnji s Državnom školom za javnu upravu u Zagrebu održana 3 osnovna i 3 napredna modula, a u 2023. 4 osnovna i 3 napredna modula.</w:t>
            </w:r>
          </w:p>
          <w:p w14:paraId="4E5ECC04" w14:textId="4B9AF86A" w:rsidR="001755DF" w:rsidRPr="0033148D" w:rsidRDefault="001755DF" w:rsidP="0033148D">
            <w:pPr>
              <w:pStyle w:val="ListParagraph"/>
              <w:numPr>
                <w:ilvl w:val="0"/>
                <w:numId w:val="14"/>
              </w:numPr>
              <w:spacing w:line="240" w:lineRule="auto"/>
              <w:jc w:val="both"/>
            </w:pPr>
            <w:r w:rsidRPr="0033148D">
              <w:rPr>
                <w:u w:val="single"/>
              </w:rPr>
              <w:t>Provedba edukacija programa „</w:t>
            </w:r>
            <w:proofErr w:type="spellStart"/>
            <w:r w:rsidRPr="0033148D">
              <w:rPr>
                <w:u w:val="single"/>
              </w:rPr>
              <w:t>Proaktivna</w:t>
            </w:r>
            <w:proofErr w:type="spellEnd"/>
            <w:r w:rsidRPr="0033148D">
              <w:rPr>
                <w:u w:val="single"/>
              </w:rPr>
              <w:t xml:space="preserve"> objava informacija i otvoreni podaci“ putem sustava Državne škole za javnu upravu – 2 godišnje</w:t>
            </w:r>
            <w:r w:rsidRPr="0033148D">
              <w:t xml:space="preserve">: kako je već navedeno, ovaj program je iz praktičnih razloga transformiran na način da se o otvorenim podacima održava online radionica „Ponovna uporaba informacija i otvoreni podaci“, preko </w:t>
            </w:r>
            <w:proofErr w:type="spellStart"/>
            <w:r w:rsidRPr="0033148D">
              <w:t>Moodle</w:t>
            </w:r>
            <w:proofErr w:type="spellEnd"/>
            <w:r w:rsidRPr="0033148D">
              <w:t xml:space="preserve"> platforme DŠJU-a (u 2022. 4, a u 2023. 6 edukacija), a </w:t>
            </w:r>
            <w:proofErr w:type="spellStart"/>
            <w:r w:rsidRPr="0033148D">
              <w:t>proaktivna</w:t>
            </w:r>
            <w:proofErr w:type="spellEnd"/>
            <w:r w:rsidRPr="0033148D">
              <w:t xml:space="preserve"> objava se temeljito obrađuje u okviru osnovnog modula, s pregledom internetskih stranica tijela javne vlasti (u 2022. 3, u 2023. 4 osnovna modula) te na </w:t>
            </w:r>
            <w:r w:rsidR="001B696E">
              <w:t>posebno prilagođenim</w:t>
            </w:r>
            <w:r w:rsidR="001B696E" w:rsidRPr="0033148D">
              <w:t xml:space="preserve"> </w:t>
            </w:r>
            <w:r w:rsidRPr="0033148D">
              <w:t>(u 2022. 6 edukacija) i regionalnim edukacijama (u 2023. 3 edukacije).</w:t>
            </w:r>
          </w:p>
          <w:p w14:paraId="25C59C68" w14:textId="77777777" w:rsidR="001755DF" w:rsidRPr="0033148D" w:rsidRDefault="001755DF" w:rsidP="0033148D">
            <w:pPr>
              <w:pStyle w:val="ListParagraph"/>
              <w:numPr>
                <w:ilvl w:val="0"/>
                <w:numId w:val="14"/>
              </w:numPr>
              <w:spacing w:line="240" w:lineRule="auto"/>
              <w:jc w:val="both"/>
            </w:pPr>
            <w:r w:rsidRPr="0033148D">
              <w:rPr>
                <w:u w:val="single"/>
              </w:rPr>
              <w:t xml:space="preserve">Održavanje najmanje 8 tematskih </w:t>
            </w:r>
            <w:proofErr w:type="spellStart"/>
            <w:r w:rsidRPr="0033148D">
              <w:rPr>
                <w:u w:val="single"/>
              </w:rPr>
              <w:t>webinara</w:t>
            </w:r>
            <w:proofErr w:type="spellEnd"/>
            <w:r w:rsidRPr="0033148D">
              <w:rPr>
                <w:u w:val="single"/>
              </w:rPr>
              <w:t xml:space="preserve"> godišnje</w:t>
            </w:r>
            <w:r w:rsidRPr="0033148D">
              <w:t xml:space="preserve">: Tijekom 2022. održana su 23 </w:t>
            </w:r>
            <w:proofErr w:type="spellStart"/>
            <w:r w:rsidRPr="0033148D">
              <w:t>webinara</w:t>
            </w:r>
            <w:proofErr w:type="spellEnd"/>
            <w:r w:rsidRPr="0033148D">
              <w:t xml:space="preserve"> (386 polaznika), a tijekom 2023. 19 </w:t>
            </w:r>
            <w:proofErr w:type="spellStart"/>
            <w:r w:rsidRPr="0033148D">
              <w:t>webinara</w:t>
            </w:r>
            <w:proofErr w:type="spellEnd"/>
            <w:r w:rsidRPr="0033148D">
              <w:t>, s više od 150 polaznika.</w:t>
            </w:r>
          </w:p>
          <w:p w14:paraId="290E0B4A" w14:textId="77777777" w:rsidR="001755DF" w:rsidRPr="0033148D" w:rsidRDefault="001755DF" w:rsidP="0033148D">
            <w:pPr>
              <w:pStyle w:val="ListParagraph"/>
              <w:numPr>
                <w:ilvl w:val="0"/>
                <w:numId w:val="14"/>
              </w:numPr>
              <w:spacing w:line="240" w:lineRule="auto"/>
              <w:jc w:val="both"/>
            </w:pPr>
            <w:r w:rsidRPr="0033148D">
              <w:rPr>
                <w:u w:val="single"/>
              </w:rPr>
              <w:t>Održavanje godišnjeg stručnog savjetovanja službenika za informiranje</w:t>
            </w:r>
            <w:r w:rsidRPr="0033148D">
              <w:t>: U listopadu 2022. održano je Godišnje savjetovanje službenika za informiranje u Osijeku (200 sudionika), a u rujnu 2023. u Splitu (120 sudionika).</w:t>
            </w:r>
          </w:p>
          <w:p w14:paraId="1AD3D0A1" w14:textId="77777777" w:rsidR="001755DF" w:rsidRPr="0033148D" w:rsidRDefault="001755DF" w:rsidP="0033148D">
            <w:pPr>
              <w:pStyle w:val="ListParagraph"/>
              <w:numPr>
                <w:ilvl w:val="0"/>
                <w:numId w:val="14"/>
              </w:numPr>
              <w:spacing w:line="240" w:lineRule="auto"/>
              <w:jc w:val="both"/>
            </w:pPr>
            <w:r w:rsidRPr="0033148D">
              <w:rPr>
                <w:u w:val="single"/>
              </w:rPr>
              <w:t>Izrada smjernica o primjeni apsolutnog ograničenja prava na pristup informacija</w:t>
            </w:r>
            <w:r w:rsidRPr="0033148D">
              <w:t>: U studenom 2023. objavljena je Smjernica o primjeni apsolutnog ograničenja prava na pristup informacijama, u rubrici Upute, smjernice, obrasci (</w:t>
            </w:r>
            <w:hyperlink r:id="rId17" w:history="1">
              <w:r w:rsidRPr="0033148D">
                <w:rPr>
                  <w:rStyle w:val="Hyperlink"/>
                </w:rPr>
                <w:t>https://pristupinfo.hr/pravni-okvir/upute-smjernice-obrasci/</w:t>
              </w:r>
            </w:hyperlink>
            <w:r w:rsidRPr="0033148D">
              <w:t xml:space="preserve">). </w:t>
            </w:r>
          </w:p>
          <w:p w14:paraId="4AF7738C" w14:textId="77777777" w:rsidR="001755DF" w:rsidRPr="0033148D" w:rsidRDefault="001755DF" w:rsidP="0033148D">
            <w:pPr>
              <w:pStyle w:val="ListParagraph"/>
              <w:numPr>
                <w:ilvl w:val="0"/>
                <w:numId w:val="14"/>
              </w:numPr>
              <w:spacing w:line="240" w:lineRule="auto"/>
              <w:jc w:val="both"/>
            </w:pPr>
            <w:r w:rsidRPr="0033148D">
              <w:rPr>
                <w:u w:val="single"/>
              </w:rPr>
              <w:t>Izrada smjernice o ostvarivanju prava na pristup informacijama u odnosu na zaštitu osobnih podataka</w:t>
            </w:r>
            <w:r w:rsidRPr="0033148D">
              <w:t>: U studenom 2023. objavljena je Smjernica o ostvarivanju prava na pristup informacijama u odnosu na zaštitu osobnih podataka, u rubrici Upute, smjernice, obrasci (</w:t>
            </w:r>
            <w:hyperlink r:id="rId18" w:history="1">
              <w:r w:rsidRPr="0033148D">
                <w:rPr>
                  <w:rStyle w:val="Hyperlink"/>
                </w:rPr>
                <w:t>https://pristupinfo.hr/pravni-okvir/upute-smjernice-obrasci/</w:t>
              </w:r>
            </w:hyperlink>
            <w:r w:rsidRPr="0033148D">
              <w:t xml:space="preserve">). </w:t>
            </w:r>
          </w:p>
          <w:p w14:paraId="1218B181" w14:textId="77777777" w:rsidR="001755DF" w:rsidRPr="0033148D" w:rsidRDefault="001755DF" w:rsidP="0033148D">
            <w:pPr>
              <w:pStyle w:val="ListParagraph"/>
              <w:numPr>
                <w:ilvl w:val="0"/>
                <w:numId w:val="14"/>
              </w:numPr>
              <w:spacing w:line="240" w:lineRule="auto"/>
              <w:jc w:val="both"/>
            </w:pPr>
            <w:r w:rsidRPr="0033148D">
              <w:rPr>
                <w:u w:val="single"/>
              </w:rPr>
              <w:t xml:space="preserve">Stručna dorada i </w:t>
            </w:r>
            <w:proofErr w:type="spellStart"/>
            <w:r w:rsidRPr="0033148D">
              <w:rPr>
                <w:u w:val="single"/>
              </w:rPr>
              <w:t>noveliranje</w:t>
            </w:r>
            <w:proofErr w:type="spellEnd"/>
            <w:r w:rsidRPr="0033148D">
              <w:rPr>
                <w:u w:val="single"/>
              </w:rPr>
              <w:t xml:space="preserve"> postojećih uputa i smjernica Povjerenika za informiranje</w:t>
            </w:r>
            <w:r w:rsidRPr="0033148D">
              <w:t xml:space="preserve">: Kao što je ranije navedeno, izvršenje ove aktivnosti nije </w:t>
            </w:r>
            <w:r w:rsidRPr="0033148D">
              <w:rPr>
                <w:rFonts w:ascii="Calibri" w:eastAsia="Times New Roman" w:hAnsi="Calibri" w:cs="Times New Roman"/>
                <w:color w:val="000000"/>
                <w:lang w:eastAsia="hr-HR"/>
              </w:rPr>
              <w:t xml:space="preserve">obuhvatilo izmjene ranije donesenih materijala koje je izradio Povjerenik za informiranje, već je, s obzirom na to da je u tijeku bila provedba projekta evaluacije, odnosno vrednovanje učinaka Zakona o pravu na pristup informacijama, navedena aktivnost ispunjena kroz donošenje </w:t>
            </w:r>
            <w:r w:rsidRPr="0033148D">
              <w:rPr>
                <w:rFonts w:ascii="Calibri" w:eastAsia="Times New Roman" w:hAnsi="Calibri" w:cs="Times New Roman"/>
                <w:color w:val="000000"/>
                <w:lang w:eastAsia="hr-HR"/>
              </w:rPr>
              <w:lastRenderedPageBreak/>
              <w:t>novih smjernica, davanje preporuka i mišljenja tijelima javne vlasti, objavu standarda postupanja i prakse Povjerenika, edukacijske i promotivne aktivnosti itd.</w:t>
            </w:r>
          </w:p>
        </w:tc>
      </w:tr>
      <w:tr w:rsidR="001755DF" w:rsidRPr="0033148D" w14:paraId="43639B7E" w14:textId="77777777" w:rsidTr="004C73DF">
        <w:trPr>
          <w:trHeight w:val="431"/>
          <w:jc w:val="center"/>
        </w:trPr>
        <w:tc>
          <w:tcPr>
            <w:tcW w:w="4248"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944919" w14:textId="12507706" w:rsidR="001755DF" w:rsidRPr="0033148D" w:rsidRDefault="001755DF"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r w:rsidRPr="0033148D">
              <w:rPr>
                <w:rFonts w:ascii="Calibri" w:eastAsia="Times New Roman" w:hAnsi="Calibri" w:cs="Times New Roman"/>
                <w:color w:val="000000"/>
                <w:lang w:eastAsia="hr-HR"/>
              </w:rPr>
              <w:t xml:space="preserve"> </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C54136"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755DF" w:rsidRPr="0033148D" w14:paraId="00FE5910" w14:textId="77777777" w:rsidTr="004C73DF">
        <w:trPr>
          <w:trHeight w:val="431"/>
          <w:jc w:val="center"/>
        </w:trPr>
        <w:tc>
          <w:tcPr>
            <w:tcW w:w="4248"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F5119BF" w14:textId="091569E1" w:rsidR="001755DF" w:rsidRPr="0033148D" w:rsidRDefault="001755DF" w:rsidP="001B696E">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063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55A095"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Ured povjerenice za informiranje planira nastavak aktivnosti u dijelu održavanja postojećih modula u Državnoj školi za javnu upravu te </w:t>
            </w:r>
            <w:proofErr w:type="spellStart"/>
            <w:r w:rsidRPr="0033148D">
              <w:rPr>
                <w:rFonts w:ascii="Calibri" w:eastAsia="Times New Roman" w:hAnsi="Calibri" w:cs="Times New Roman"/>
                <w:color w:val="000000"/>
                <w:lang w:eastAsia="hr-HR"/>
              </w:rPr>
              <w:t>webinara</w:t>
            </w:r>
            <w:proofErr w:type="spellEnd"/>
            <w:r w:rsidRPr="0033148D">
              <w:rPr>
                <w:rFonts w:ascii="Calibri" w:eastAsia="Times New Roman" w:hAnsi="Calibri" w:cs="Times New Roman"/>
                <w:color w:val="000000"/>
                <w:lang w:eastAsia="hr-HR"/>
              </w:rPr>
              <w:t xml:space="preserve"> namijenjenih službenicima za informiranje.</w:t>
            </w:r>
          </w:p>
        </w:tc>
      </w:tr>
    </w:tbl>
    <w:p w14:paraId="38AB61A0" w14:textId="77777777" w:rsidR="00DF5B9D" w:rsidRPr="0033148D" w:rsidRDefault="00DF5B9D" w:rsidP="0033148D">
      <w:pPr>
        <w:spacing w:line="240" w:lineRule="auto"/>
      </w:pPr>
    </w:p>
    <w:tbl>
      <w:tblPr>
        <w:tblW w:w="15021" w:type="dxa"/>
        <w:jc w:val="center"/>
        <w:tblLook w:val="04A0" w:firstRow="1" w:lastRow="0" w:firstColumn="1" w:lastColumn="0" w:noHBand="0" w:noVBand="1"/>
      </w:tblPr>
      <w:tblGrid>
        <w:gridCol w:w="4106"/>
        <w:gridCol w:w="2693"/>
        <w:gridCol w:w="2410"/>
        <w:gridCol w:w="2835"/>
        <w:gridCol w:w="2977"/>
      </w:tblGrid>
      <w:tr w:rsidR="001755DF" w:rsidRPr="0033148D" w14:paraId="43D03B06" w14:textId="77777777" w:rsidTr="0077598C">
        <w:trPr>
          <w:trHeight w:val="70"/>
          <w:jc w:val="center"/>
        </w:trPr>
        <w:tc>
          <w:tcPr>
            <w:tcW w:w="1502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50CFE" w14:textId="5ED65072" w:rsidR="001755DF"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1755DF" w:rsidRPr="0033148D">
              <w:rPr>
                <w:rFonts w:ascii="Calibri" w:eastAsia="Times New Roman" w:hAnsi="Calibri" w:cs="Times New Roman"/>
                <w:b/>
                <w:bCs/>
                <w:color w:val="000000"/>
                <w:lang w:eastAsia="hr-HR"/>
              </w:rPr>
              <w:t xml:space="preserve">1.3. Jačati transparentnost tijela javne vlasti u odnosu na </w:t>
            </w:r>
            <w:proofErr w:type="spellStart"/>
            <w:r w:rsidR="001755DF" w:rsidRPr="0033148D">
              <w:rPr>
                <w:rFonts w:ascii="Calibri" w:eastAsia="Times New Roman" w:hAnsi="Calibri" w:cs="Times New Roman"/>
                <w:b/>
                <w:bCs/>
                <w:color w:val="000000"/>
                <w:lang w:eastAsia="hr-HR"/>
              </w:rPr>
              <w:t>proaktivnu</w:t>
            </w:r>
            <w:proofErr w:type="spellEnd"/>
            <w:r w:rsidR="001755DF" w:rsidRPr="0033148D">
              <w:rPr>
                <w:rFonts w:ascii="Calibri" w:eastAsia="Times New Roman" w:hAnsi="Calibri" w:cs="Times New Roman"/>
                <w:b/>
                <w:bCs/>
                <w:color w:val="000000"/>
                <w:lang w:eastAsia="hr-HR"/>
              </w:rPr>
              <w:t xml:space="preserve"> objavu informacija, savjetovanja s javnošću u procesu donošenja odluka i osiguravanje javnosti rada tijela javne vlasti</w:t>
            </w:r>
          </w:p>
        </w:tc>
      </w:tr>
      <w:tr w:rsidR="001755DF" w:rsidRPr="0033148D" w14:paraId="7EB6B4C2" w14:textId="77777777" w:rsidTr="001B696E">
        <w:trPr>
          <w:trHeight w:val="45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80CCAD2" w14:textId="73412260" w:rsidR="001755DF" w:rsidRPr="0033148D" w:rsidRDefault="00EF701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CDE429"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Povjerenik za informiranje</w:t>
            </w:r>
          </w:p>
        </w:tc>
      </w:tr>
      <w:tr w:rsidR="001755DF" w:rsidRPr="0033148D" w14:paraId="7E1EA7E7" w14:textId="77777777" w:rsidTr="001B696E">
        <w:trPr>
          <w:trHeight w:val="45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42417BB3" w14:textId="77777777" w:rsidR="001755DF" w:rsidRPr="0033148D" w:rsidRDefault="001755D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65335A5E"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755DF" w:rsidRPr="0033148D" w14:paraId="5A8F1929" w14:textId="77777777" w:rsidTr="001B696E">
        <w:trPr>
          <w:trHeight w:val="45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4DF732F5" w14:textId="73FF9F18"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1F6AAD82"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2022.</w:t>
            </w:r>
          </w:p>
        </w:tc>
      </w:tr>
      <w:tr w:rsidR="001755DF" w:rsidRPr="0033148D" w14:paraId="541709A0" w14:textId="77777777" w:rsidTr="001B696E">
        <w:trPr>
          <w:trHeight w:val="45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2A33DDBA" w14:textId="035EF798"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22CE015D"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755DF" w:rsidRPr="0033148D" w14:paraId="5C0F4F4A" w14:textId="77777777" w:rsidTr="00EF7016">
        <w:trPr>
          <w:trHeight w:val="300"/>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6A50BE41" w14:textId="4466832C" w:rsidR="001755DF" w:rsidRPr="0033148D" w:rsidRDefault="00EF701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369FA386" w14:textId="77777777" w:rsidR="001755DF" w:rsidRPr="0033148D" w:rsidRDefault="001755DF" w:rsidP="0033148D">
            <w:pPr>
              <w:pStyle w:val="ListParagraph"/>
              <w:numPr>
                <w:ilvl w:val="0"/>
                <w:numId w:val="40"/>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Izvršena </w:t>
            </w:r>
            <w:proofErr w:type="spellStart"/>
            <w:r w:rsidRPr="0033148D">
              <w:rPr>
                <w:rFonts w:ascii="Calibri" w:eastAsia="Times New Roman" w:hAnsi="Calibri" w:cs="Times New Roman"/>
                <w:color w:val="000000"/>
                <w:lang w:eastAsia="hr-HR"/>
              </w:rPr>
              <w:t>samoprocjena</w:t>
            </w:r>
            <w:proofErr w:type="spellEnd"/>
            <w:r w:rsidRPr="0033148D">
              <w:rPr>
                <w:rFonts w:ascii="Calibri" w:eastAsia="Times New Roman" w:hAnsi="Calibri" w:cs="Times New Roman"/>
                <w:color w:val="000000"/>
                <w:lang w:eastAsia="hr-HR"/>
              </w:rPr>
              <w:t xml:space="preserve"> i na web stranicama objavljen dokument </w:t>
            </w:r>
            <w:proofErr w:type="spellStart"/>
            <w:r w:rsidRPr="0033148D">
              <w:rPr>
                <w:rFonts w:ascii="Calibri" w:eastAsia="Times New Roman" w:hAnsi="Calibri" w:cs="Times New Roman"/>
                <w:color w:val="000000"/>
                <w:lang w:eastAsia="hr-HR"/>
              </w:rPr>
              <w:t>samoprocjene</w:t>
            </w:r>
            <w:proofErr w:type="spellEnd"/>
            <w:r w:rsidRPr="0033148D">
              <w:rPr>
                <w:rFonts w:ascii="Calibri" w:eastAsia="Times New Roman" w:hAnsi="Calibri" w:cs="Times New Roman"/>
                <w:color w:val="000000"/>
                <w:lang w:eastAsia="hr-HR"/>
              </w:rPr>
              <w:t xml:space="preserve"> usklađenosti postupanja sa Zakonom o pravu na pristup informacijama za pojedine skupine tijela, najmanje 150 tijela javne vlasti</w:t>
            </w:r>
          </w:p>
          <w:p w14:paraId="25511257" w14:textId="147C4625" w:rsidR="001755DF" w:rsidRPr="0033148D" w:rsidRDefault="001755DF" w:rsidP="0033148D">
            <w:pPr>
              <w:pStyle w:val="ListParagraph"/>
              <w:numPr>
                <w:ilvl w:val="0"/>
                <w:numId w:val="40"/>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Provedeno analitičko praćenje pojedinih segmenata članaka 10., 11.</w:t>
            </w:r>
            <w:r w:rsidR="00352A62">
              <w:rPr>
                <w:rFonts w:ascii="Calibri" w:eastAsia="Times New Roman" w:hAnsi="Calibri" w:cs="Times New Roman"/>
                <w:color w:val="000000"/>
                <w:lang w:eastAsia="hr-HR"/>
              </w:rPr>
              <w:t xml:space="preserve"> </w:t>
            </w:r>
            <w:r w:rsidRPr="0033148D">
              <w:rPr>
                <w:rFonts w:ascii="Calibri" w:eastAsia="Times New Roman" w:hAnsi="Calibri" w:cs="Times New Roman"/>
                <w:color w:val="000000"/>
                <w:lang w:eastAsia="hr-HR"/>
              </w:rPr>
              <w:t>i 12. Zakona o pravu na pristup informacijama, uz izradu izvješća i preporuka za usklađivanje postupanja, najmanje 100 tijela javne vlasti</w:t>
            </w:r>
          </w:p>
          <w:p w14:paraId="32395219" w14:textId="77777777" w:rsidR="001755DF" w:rsidRPr="0033148D" w:rsidRDefault="001755DF" w:rsidP="0033148D">
            <w:pPr>
              <w:pStyle w:val="ListParagraph"/>
              <w:numPr>
                <w:ilvl w:val="0"/>
                <w:numId w:val="40"/>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Provedeno praćenje usklađenosti internetskih stranica i aplikacija tijela javne vlasti sa zahtjevima pristupačnosti za osobe s invaliditetom, uz izradu izvješća</w:t>
            </w:r>
          </w:p>
        </w:tc>
      </w:tr>
      <w:tr w:rsidR="001755DF" w:rsidRPr="0033148D" w14:paraId="16AF24FD" w14:textId="77777777" w:rsidTr="005D6701">
        <w:trPr>
          <w:trHeight w:val="718"/>
          <w:jc w:val="center"/>
        </w:trPr>
        <w:tc>
          <w:tcPr>
            <w:tcW w:w="410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7F514D2" w14:textId="3F273157" w:rsidR="001755DF" w:rsidRPr="0033148D" w:rsidRDefault="001755DF"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02C7515"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24949AB2"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73FF6000"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2712C8D4"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755DF" w:rsidRPr="0033148D" w14:paraId="4FA69DD1" w14:textId="77777777" w:rsidTr="00E60FCA">
        <w:trPr>
          <w:trHeight w:val="672"/>
          <w:jc w:val="center"/>
        </w:trPr>
        <w:tc>
          <w:tcPr>
            <w:tcW w:w="4106" w:type="dxa"/>
            <w:vMerge/>
            <w:tcBorders>
              <w:top w:val="single" w:sz="4" w:space="0" w:color="auto"/>
              <w:left w:val="single" w:sz="4" w:space="0" w:color="auto"/>
              <w:bottom w:val="single" w:sz="4" w:space="0" w:color="auto"/>
              <w:right w:val="single" w:sz="4" w:space="0" w:color="000000"/>
            </w:tcBorders>
            <w:vAlign w:val="center"/>
            <w:hideMark/>
          </w:tcPr>
          <w:p w14:paraId="582ACBAF" w14:textId="77777777" w:rsidR="001755DF" w:rsidRPr="0033148D" w:rsidRDefault="001755DF"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CD4E73D"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0EB81A3B"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47D301B4"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977" w:type="dxa"/>
            <w:tcBorders>
              <w:top w:val="nil"/>
              <w:left w:val="nil"/>
              <w:bottom w:val="single" w:sz="4" w:space="0" w:color="auto"/>
              <w:right w:val="single" w:sz="4" w:space="0" w:color="auto"/>
            </w:tcBorders>
            <w:shd w:val="clear" w:color="auto" w:fill="A8D08D" w:themeFill="accent6" w:themeFillTint="99"/>
            <w:noWrap/>
            <w:vAlign w:val="center"/>
            <w:hideMark/>
          </w:tcPr>
          <w:p w14:paraId="04F5400B"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1755DF" w:rsidRPr="0033148D" w14:paraId="7659EEB9" w14:textId="77777777" w:rsidTr="00E60FCA">
        <w:trPr>
          <w:trHeight w:val="642"/>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014121" w14:textId="26122B28" w:rsidR="001755DF" w:rsidRPr="0033148D" w:rsidRDefault="001755DF"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91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92C5F89" w14:textId="50C061EE" w:rsidR="001755DF"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Nije bilo izmjena.</w:t>
            </w:r>
          </w:p>
        </w:tc>
      </w:tr>
      <w:tr w:rsidR="001755DF" w:rsidRPr="0033148D" w14:paraId="7B275D18" w14:textId="77777777" w:rsidTr="00E60FCA">
        <w:trPr>
          <w:trHeight w:val="564"/>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32814E2" w14:textId="087732F3" w:rsidR="001755DF" w:rsidRPr="0033148D" w:rsidRDefault="001755DF" w:rsidP="001B696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B60EAC" w14:textId="77777777" w:rsidR="001755DF" w:rsidRPr="0033148D" w:rsidRDefault="001755DF" w:rsidP="0033148D">
            <w:pPr>
              <w:spacing w:line="240" w:lineRule="auto"/>
              <w:jc w:val="both"/>
            </w:pPr>
            <w:r w:rsidRPr="0033148D">
              <w:rPr>
                <w:u w:val="single"/>
              </w:rPr>
              <w:t xml:space="preserve">Izvršena </w:t>
            </w:r>
            <w:proofErr w:type="spellStart"/>
            <w:r w:rsidRPr="0033148D">
              <w:rPr>
                <w:u w:val="single"/>
              </w:rPr>
              <w:t>samoprocjena</w:t>
            </w:r>
            <w:proofErr w:type="spellEnd"/>
            <w:r w:rsidRPr="0033148D">
              <w:rPr>
                <w:u w:val="single"/>
              </w:rPr>
              <w:t xml:space="preserve"> i na web stranicama objavljen dokument </w:t>
            </w:r>
            <w:proofErr w:type="spellStart"/>
            <w:r w:rsidRPr="0033148D">
              <w:rPr>
                <w:u w:val="single"/>
              </w:rPr>
              <w:t>samoprocjene</w:t>
            </w:r>
            <w:proofErr w:type="spellEnd"/>
            <w:r w:rsidRPr="0033148D">
              <w:rPr>
                <w:u w:val="single"/>
              </w:rPr>
              <w:t xml:space="preserve"> usklađenosti postupanja sa Zakonom o pravu na pristup informacijama za pojedine skupine tijela, najmanje 150 tijela javne vlasti</w:t>
            </w:r>
            <w:r w:rsidRPr="0033148D">
              <w:t xml:space="preserve">: Povjerenik je u lipnju 2023. uputio prilagođeni upitnik za </w:t>
            </w:r>
            <w:proofErr w:type="spellStart"/>
            <w:r w:rsidRPr="0033148D">
              <w:t>samoprocjenu</w:t>
            </w:r>
            <w:proofErr w:type="spellEnd"/>
            <w:r w:rsidRPr="0033148D">
              <w:t xml:space="preserve"> svim tijelima javne vlasti koja su se u tom trenutku nalazila na instruktivnom Popisu tijela javne vlasti. Uslijedilo je prikupljanje popunjenih i dostavljenih upitnika za </w:t>
            </w:r>
            <w:proofErr w:type="spellStart"/>
            <w:r w:rsidRPr="0033148D">
              <w:t>samoprocjenu</w:t>
            </w:r>
            <w:proofErr w:type="spellEnd"/>
            <w:r w:rsidRPr="0033148D">
              <w:t>, a do kraja 2023. godine, upitnike je Povjereniku dostavilo gotovo 1.200 tijela javne vlasti.</w:t>
            </w:r>
          </w:p>
          <w:p w14:paraId="5A5DBDF7" w14:textId="62D7DE07" w:rsidR="001755DF" w:rsidRPr="0033148D" w:rsidRDefault="001755DF" w:rsidP="0033148D">
            <w:pPr>
              <w:spacing w:line="240" w:lineRule="auto"/>
              <w:jc w:val="both"/>
              <w:rPr>
                <w:u w:val="single"/>
              </w:rPr>
            </w:pPr>
            <w:r w:rsidRPr="0033148D">
              <w:rPr>
                <w:u w:val="single"/>
              </w:rPr>
              <w:lastRenderedPageBreak/>
              <w:t>Provedeno analitičko praćenje pojedinih segmenata članaka 10., 11.</w:t>
            </w:r>
            <w:r w:rsidR="00352A62">
              <w:rPr>
                <w:u w:val="single"/>
              </w:rPr>
              <w:t xml:space="preserve"> </w:t>
            </w:r>
            <w:r w:rsidRPr="0033148D">
              <w:rPr>
                <w:u w:val="single"/>
              </w:rPr>
              <w:t>i 12. Zakona o pravu na pristup informacijama, uz izradu izvješća i preporuka za usklađivanje postupanja, najmanje 100 tijela javne vlasti:</w:t>
            </w:r>
            <w:r w:rsidRPr="0033148D">
              <w:t xml:space="preserve"> dostupno na</w:t>
            </w:r>
            <w:r w:rsidRPr="0033148D">
              <w:rPr>
                <w:u w:val="single"/>
              </w:rPr>
              <w:t xml:space="preserve"> </w:t>
            </w:r>
            <w:hyperlink r:id="rId19" w:history="1">
              <w:r w:rsidRPr="0033148D">
                <w:rPr>
                  <w:rStyle w:val="Hyperlink"/>
                </w:rPr>
                <w:t>https://pristupinfo.hr/dokumenti-i-publikacije/analiticka-izvjesca/</w:t>
              </w:r>
            </w:hyperlink>
            <w:r w:rsidRPr="0033148D">
              <w:rPr>
                <w:u w:val="single"/>
              </w:rPr>
              <w:t xml:space="preserve"> </w:t>
            </w:r>
          </w:p>
          <w:p w14:paraId="594D92A2" w14:textId="77777777" w:rsidR="001755DF" w:rsidRPr="0033148D" w:rsidRDefault="001755DF" w:rsidP="0033148D">
            <w:pPr>
              <w:pStyle w:val="ListParagraph"/>
              <w:numPr>
                <w:ilvl w:val="1"/>
                <w:numId w:val="5"/>
              </w:numPr>
              <w:spacing w:line="240" w:lineRule="auto"/>
              <w:jc w:val="both"/>
            </w:pPr>
            <w:r w:rsidRPr="0033148D">
              <w:t xml:space="preserve">2022.: Provedena su tri praćenja, pri čemu jedno cjelovito, i to Grad Zagreb (članci 10., 11. i 12. Zakona) te dva specijalizirana praćenja pojedinih segmenata </w:t>
            </w:r>
            <w:proofErr w:type="spellStart"/>
            <w:r w:rsidRPr="0033148D">
              <w:t>proaktivne</w:t>
            </w:r>
            <w:proofErr w:type="spellEnd"/>
            <w:r w:rsidRPr="0033148D">
              <w:t xml:space="preserve"> objave informacija: financijska transparentnost 48 trgovačkih društava u 100%-</w:t>
            </w:r>
            <w:proofErr w:type="spellStart"/>
            <w:r w:rsidRPr="0033148D">
              <w:t>tnom</w:t>
            </w:r>
            <w:proofErr w:type="spellEnd"/>
            <w:r w:rsidRPr="0033148D">
              <w:t xml:space="preserve"> ili većinskom vlasništvu Republike Hrvatske (točke 4., 7., 8., 9. i 13. članka 10. Zakona) i praćenje </w:t>
            </w:r>
            <w:proofErr w:type="spellStart"/>
            <w:r w:rsidRPr="0033148D">
              <w:t>proaktivne</w:t>
            </w:r>
            <w:proofErr w:type="spellEnd"/>
            <w:r w:rsidRPr="0033148D">
              <w:t xml:space="preserve"> objave informacija za ponovnu uporabu na internetskim stranicama 50 odabranih JLP(R)S-ova (točka 5. članka 10. Zakona). Dodatno, provedena su tri praćenja tijekom kojih je bilo moguće utvrditi odstupanja u postupanju obveznika provedbe savjetovanja s javnošću koji koriste portal e-Savjetovanja na određeni dan u smislu neargumentiranog kraćenja roka provedbe savjetovanja ili neobjavljivanja izvješća o provedenom savjetovanju, a dubinski je praćena provedba savjetovanja na razini Ministarstva rada, mirovinskoga sustava, obitelji i socijalne politike, Ministarstva mora, prometa i infrastrukture te Ministarstva turizma i sporta.</w:t>
            </w:r>
          </w:p>
          <w:p w14:paraId="0FFF2BE5" w14:textId="77777777" w:rsidR="001755DF" w:rsidRPr="0033148D" w:rsidRDefault="001755DF" w:rsidP="0033148D">
            <w:pPr>
              <w:pStyle w:val="ListParagraph"/>
              <w:numPr>
                <w:ilvl w:val="1"/>
                <w:numId w:val="5"/>
              </w:numPr>
              <w:spacing w:line="240" w:lineRule="auto"/>
              <w:jc w:val="both"/>
            </w:pPr>
            <w:r w:rsidRPr="0033148D">
              <w:t xml:space="preserve">2023.: Provedena su tri analitička praćenja pojedinih dijelova obveze </w:t>
            </w:r>
            <w:proofErr w:type="spellStart"/>
            <w:r w:rsidRPr="0033148D">
              <w:t>proaktivne</w:t>
            </w:r>
            <w:proofErr w:type="spellEnd"/>
            <w:r w:rsidRPr="0033148D">
              <w:t xml:space="preserve"> objave informacija: 20 županijskih uprava za ceste (točke 6., 10., 11. i 13.), 13 trgovačkih društava u većinskom vlasništvu Grada Zagreba (točke 4., 7., 8., 9. i 13.) i 32 lučke uprave (točke 9., 10., 11. i 13.). Dodatno, objavljeno je praćenje ispunjenja obveze osiguravanja javnosti rada na sjednicama u vidu </w:t>
            </w:r>
            <w:proofErr w:type="spellStart"/>
            <w:r w:rsidRPr="0033148D">
              <w:t>proaktivno</w:t>
            </w:r>
            <w:proofErr w:type="spellEnd"/>
            <w:r w:rsidRPr="0033148D">
              <w:t xml:space="preserve"> objavljenih informacija propisanih točkom 12. članka 10. i člankom 12. Zakona od strane 36 tijela koja su sudjelovala na osnovnom modulu u DŠJU, kao i praćenje ispunjenja obveze provedbe savjetovanja s javnošću sukladno članku 11. Zakona od strane 18 tijela koja su sudjelovala na edukaciji o savjetovanjima u DŠJU. Također, objavljeni su rezultati kontrolnog praćenja </w:t>
            </w:r>
            <w:proofErr w:type="spellStart"/>
            <w:r w:rsidRPr="0033148D">
              <w:t>proaktivne</w:t>
            </w:r>
            <w:proofErr w:type="spellEnd"/>
            <w:r w:rsidRPr="0033148D">
              <w:t xml:space="preserve"> objave podataka za ponovnu uporabu na internetskim stranicama 371 JLP(R)S za koje je prvim praćenjem iz 2022. utvrđeno da nisu objavile </w:t>
            </w:r>
            <w:proofErr w:type="spellStart"/>
            <w:r w:rsidRPr="0033148D">
              <w:rPr>
                <w:i/>
                <w:iCs/>
              </w:rPr>
              <w:t>asset</w:t>
            </w:r>
            <w:proofErr w:type="spellEnd"/>
            <w:r w:rsidRPr="0033148D">
              <w:t xml:space="preserve"> liste. </w:t>
            </w:r>
          </w:p>
          <w:p w14:paraId="4B4397E7" w14:textId="77777777" w:rsidR="001755DF" w:rsidRPr="0033148D" w:rsidRDefault="001755DF" w:rsidP="0033148D">
            <w:pPr>
              <w:spacing w:line="240" w:lineRule="auto"/>
              <w:jc w:val="both"/>
            </w:pPr>
            <w:r w:rsidRPr="0033148D">
              <w:rPr>
                <w:u w:val="single"/>
              </w:rPr>
              <w:t>Provedeno praćenje usklađenosti internetskih stranica i aplikacija tijela javne vlasti sa zahtjevima pristupačnosti za osobe s invaliditetom, uz izradu izvješća</w:t>
            </w:r>
            <w:r w:rsidRPr="0033148D">
              <w:t xml:space="preserve">: Na poveznici </w:t>
            </w:r>
            <w:hyperlink r:id="rId20" w:history="1">
              <w:r w:rsidRPr="0033148D">
                <w:rPr>
                  <w:rStyle w:val="Hyperlink"/>
                </w:rPr>
                <w:t>https://pristupinfo.hr/pristupacnost-web-stranica-i-mobilnih-aplikacija/</w:t>
              </w:r>
            </w:hyperlink>
            <w:r w:rsidRPr="0033148D">
              <w:t xml:space="preserve"> je objavljeno Izvješće o usklađenosti mrežnih stranica i mobilnih aplikacija tijela javnog sektora sa zahtjevima pristupačnosti za 2022. godinu, a za 2023. je praćenje u tijeku te će izvješće biti objavljeno početkom 2024.</w:t>
            </w:r>
          </w:p>
        </w:tc>
      </w:tr>
      <w:tr w:rsidR="001755DF" w:rsidRPr="0033148D" w14:paraId="79AF0600" w14:textId="77777777" w:rsidTr="00EF7016">
        <w:trPr>
          <w:trHeight w:val="1011"/>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A80D61C" w14:textId="1DD5EEED" w:rsidR="001755DF" w:rsidRPr="0033148D" w:rsidRDefault="001755DF" w:rsidP="00B6073A">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A2A560" w14:textId="41540DFB" w:rsidR="001755DF" w:rsidRPr="0033148D" w:rsidRDefault="001755DF" w:rsidP="00EE4C9C">
            <w:pPr>
              <w:spacing w:after="0" w:line="240" w:lineRule="auto"/>
              <w:jc w:val="both"/>
              <w:rPr>
                <w:rFonts w:ascii="Calibri" w:eastAsia="Times New Roman" w:hAnsi="Calibri" w:cs="Times New Roman"/>
                <w:color w:val="000000"/>
                <w:lang w:eastAsia="hr-HR"/>
              </w:rPr>
            </w:pPr>
            <w:r w:rsidRPr="00AC4501">
              <w:rPr>
                <w:rFonts w:ascii="Calibri" w:eastAsia="Times New Roman" w:hAnsi="Calibri" w:cs="Times New Roman"/>
                <w:color w:val="000000"/>
                <w:lang w:eastAsia="hr-HR"/>
              </w:rPr>
              <w:t xml:space="preserve">Tijekom 2024. </w:t>
            </w:r>
            <w:r w:rsidR="00AC4501" w:rsidRPr="00AC4501">
              <w:rPr>
                <w:rFonts w:ascii="Calibri" w:eastAsia="Times New Roman" w:hAnsi="Calibri" w:cs="Times New Roman"/>
                <w:color w:val="000000"/>
                <w:lang w:eastAsia="hr-HR"/>
              </w:rPr>
              <w:t>objavljeno je analitičko izvješće o provedenom praćenju</w:t>
            </w:r>
            <w:r w:rsidRPr="00AC4501">
              <w:rPr>
                <w:rFonts w:ascii="Calibri" w:eastAsia="Times New Roman" w:hAnsi="Calibri" w:cs="Times New Roman"/>
                <w:color w:val="000000"/>
                <w:lang w:eastAsia="hr-HR"/>
              </w:rPr>
              <w:t xml:space="preserve"> savjetovanja s javnošću (praćenja na dan u odnosu na odabrane postupke savjetovanja na portalu e-Savjetovanja te dubinska praćenja provedbe savjetovanja na razini tri ministarstva). Također, </w:t>
            </w:r>
            <w:r w:rsidR="00EE4C9C">
              <w:rPr>
                <w:rFonts w:ascii="Calibri" w:eastAsia="Times New Roman" w:hAnsi="Calibri" w:cs="Times New Roman"/>
                <w:color w:val="000000"/>
                <w:lang w:eastAsia="hr-HR"/>
              </w:rPr>
              <w:t>planira se objava</w:t>
            </w:r>
            <w:r w:rsidR="00AC4501" w:rsidRPr="00AC4501">
              <w:rPr>
                <w:rFonts w:ascii="Calibri" w:eastAsia="Times New Roman" w:hAnsi="Calibri" w:cs="Times New Roman"/>
                <w:color w:val="000000"/>
                <w:lang w:eastAsia="hr-HR"/>
              </w:rPr>
              <w:t xml:space="preserve"> </w:t>
            </w:r>
            <w:r w:rsidR="00EE4C9C">
              <w:t>Izvješća</w:t>
            </w:r>
            <w:r w:rsidRPr="00AC4501">
              <w:t xml:space="preserve"> o usklađenosti mrežnih stranica i mobilnih aplikacija tijela javnog sektora sa zahtjevima pristupačnosti za 2023. godinu.</w:t>
            </w:r>
          </w:p>
        </w:tc>
      </w:tr>
      <w:tr w:rsidR="001755DF" w:rsidRPr="0033148D" w14:paraId="00270CB6" w14:textId="77777777" w:rsidTr="00E60FCA">
        <w:trPr>
          <w:trHeight w:val="1316"/>
          <w:jc w:val="center"/>
        </w:trPr>
        <w:tc>
          <w:tcPr>
            <w:tcW w:w="4106"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A861BB2" w14:textId="77777777" w:rsidR="001755DF" w:rsidRPr="0033148D" w:rsidRDefault="001755DF" w:rsidP="0033148D">
            <w:pPr>
              <w:spacing w:line="240" w:lineRule="auto"/>
              <w:rPr>
                <w:rFonts w:ascii="Calibri" w:eastAsia="Times New Roman" w:hAnsi="Calibri" w:cs="Times New Roman"/>
                <w:color w:val="000000"/>
                <w:lang w:eastAsia="hr-HR"/>
              </w:rPr>
            </w:pPr>
            <w:r w:rsidRPr="0033148D">
              <w:rPr>
                <w:b/>
                <w:bCs/>
                <w:lang w:eastAsia="hr-HR"/>
              </w:rPr>
              <w:t xml:space="preserve">Sljedeći koraci </w:t>
            </w:r>
            <w:r w:rsidRPr="0033148D">
              <w:rPr>
                <w:i/>
                <w:iCs/>
                <w:lang w:eastAsia="hr-HR"/>
              </w:rPr>
              <w:t>(planira li se nastavak ove aktivnosti u istom ili nekom drugom obliku ili neka nova aktivnost u ovom tematskom području u sljedećem provedbenom razdoblju, odnosno Akcijskom planu)</w:t>
            </w:r>
            <w:r w:rsidRPr="0033148D">
              <w:rPr>
                <w:b/>
                <w:bCs/>
                <w:i/>
                <w:iCs/>
                <w:lang w:eastAsia="hr-HR"/>
              </w:rPr>
              <w:t>:</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E15282" w14:textId="77777777" w:rsidR="001755DF" w:rsidRPr="0033148D" w:rsidRDefault="001755D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Ured povjerenice za informiranje planira nastaviti s provedbom ciljanih praćenja ispunjenja obveze </w:t>
            </w:r>
            <w:proofErr w:type="spellStart"/>
            <w:r w:rsidRPr="0033148D">
              <w:rPr>
                <w:rFonts w:ascii="Calibri" w:eastAsia="Times New Roman" w:hAnsi="Calibri" w:cs="Times New Roman"/>
                <w:color w:val="000000"/>
                <w:lang w:eastAsia="hr-HR"/>
              </w:rPr>
              <w:t>proaktivne</w:t>
            </w:r>
            <w:proofErr w:type="spellEnd"/>
            <w:r w:rsidRPr="0033148D">
              <w:rPr>
                <w:rFonts w:ascii="Calibri" w:eastAsia="Times New Roman" w:hAnsi="Calibri" w:cs="Times New Roman"/>
                <w:color w:val="000000"/>
                <w:lang w:eastAsia="hr-HR"/>
              </w:rPr>
              <w:t xml:space="preserve"> objave informacija, provedbe savjetovanja s javnošću i osiguravanja javnosti rada.</w:t>
            </w:r>
          </w:p>
        </w:tc>
      </w:tr>
    </w:tbl>
    <w:p w14:paraId="751F6088" w14:textId="77777777" w:rsidR="001755DF" w:rsidRPr="0033148D" w:rsidRDefault="001755DF" w:rsidP="0033148D">
      <w:pPr>
        <w:spacing w:line="240" w:lineRule="auto"/>
      </w:pPr>
    </w:p>
    <w:tbl>
      <w:tblPr>
        <w:tblW w:w="15163" w:type="dxa"/>
        <w:jc w:val="center"/>
        <w:tblLook w:val="04A0" w:firstRow="1" w:lastRow="0" w:firstColumn="1" w:lastColumn="0" w:noHBand="0" w:noVBand="1"/>
      </w:tblPr>
      <w:tblGrid>
        <w:gridCol w:w="4106"/>
        <w:gridCol w:w="2693"/>
        <w:gridCol w:w="2410"/>
        <w:gridCol w:w="2835"/>
        <w:gridCol w:w="3119"/>
      </w:tblGrid>
      <w:tr w:rsidR="001755DF" w:rsidRPr="0033148D" w14:paraId="15E396AD" w14:textId="77777777" w:rsidTr="001B696E">
        <w:trPr>
          <w:trHeight w:val="465"/>
          <w:jc w:val="center"/>
        </w:trPr>
        <w:tc>
          <w:tcPr>
            <w:tcW w:w="1516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9E4C58" w14:textId="7FFAAD1C" w:rsidR="001755DF"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1755DF" w:rsidRPr="0033148D">
              <w:rPr>
                <w:rFonts w:ascii="Calibri" w:eastAsia="Times New Roman" w:hAnsi="Calibri" w:cs="Times New Roman"/>
                <w:b/>
                <w:bCs/>
                <w:color w:val="000000"/>
                <w:lang w:eastAsia="hr-HR"/>
              </w:rPr>
              <w:t>1.4. Uspostaviti okvir za povećanje efikasnosti primjene Zakona o pravu na pristup informacijama</w:t>
            </w:r>
          </w:p>
        </w:tc>
      </w:tr>
      <w:tr w:rsidR="001755DF" w:rsidRPr="0033148D" w14:paraId="655B0528" w14:textId="77777777" w:rsidTr="001B696E">
        <w:trPr>
          <w:trHeight w:val="465"/>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DD017D" w14:textId="330C96D3"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w:t>
            </w:r>
            <w:r w:rsidR="00EF7016" w:rsidRPr="0033148D">
              <w:rPr>
                <w:rFonts w:ascii="Calibri" w:eastAsia="Times New Roman" w:hAnsi="Calibri" w:cs="Times New Roman"/>
                <w:b/>
                <w:bCs/>
                <w:color w:val="000000"/>
                <w:lang w:eastAsia="hr-HR"/>
              </w:rPr>
              <w:t xml:space="preserve">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8EE7AF"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Povjerenik za informiranje</w:t>
            </w:r>
          </w:p>
        </w:tc>
      </w:tr>
      <w:tr w:rsidR="001755DF" w:rsidRPr="0033148D" w14:paraId="39E935FF" w14:textId="77777777" w:rsidTr="001B696E">
        <w:trPr>
          <w:trHeight w:val="465"/>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6FE1AE8A" w14:textId="77777777" w:rsidR="001755DF" w:rsidRPr="0033148D" w:rsidRDefault="001755D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3FF1CA43"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755DF" w:rsidRPr="0033148D" w14:paraId="580D648C" w14:textId="77777777" w:rsidTr="001B696E">
        <w:trPr>
          <w:trHeight w:val="465"/>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3DB5449C" w14:textId="2DA044B7"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E15DEB3"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2022.</w:t>
            </w:r>
          </w:p>
        </w:tc>
      </w:tr>
      <w:tr w:rsidR="001755DF" w:rsidRPr="0033148D" w14:paraId="19DF233A" w14:textId="77777777" w:rsidTr="001B696E">
        <w:trPr>
          <w:trHeight w:val="465"/>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2107013F" w14:textId="52BADDE2"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4C7A3AE"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755DF" w:rsidRPr="0033148D" w14:paraId="60DB0111" w14:textId="77777777" w:rsidTr="001B696E">
        <w:trPr>
          <w:trHeight w:val="465"/>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tcPr>
          <w:p w14:paraId="5A22A59F" w14:textId="2A75F036" w:rsidR="001755DF" w:rsidRPr="0033148D" w:rsidRDefault="001755D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w:t>
            </w:r>
            <w:r w:rsidR="00EF7016" w:rsidRPr="0033148D">
              <w:rPr>
                <w:rFonts w:ascii="Calibri" w:eastAsia="Times New Roman" w:hAnsi="Calibri" w:cs="Times New Roman"/>
                <w:b/>
                <w:bCs/>
                <w:color w:val="000000"/>
                <w:lang w:eastAsia="hr-HR"/>
              </w:rPr>
              <w:t>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7E38B740" w14:textId="77777777" w:rsidR="001755DF" w:rsidRPr="0033148D" w:rsidRDefault="001755DF" w:rsidP="0033148D">
            <w:pPr>
              <w:pStyle w:val="ListParagraph"/>
              <w:numPr>
                <w:ilvl w:val="0"/>
                <w:numId w:val="42"/>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Vrednovanje učinaka provedbe Zakona o pravu na pristup informacijama od strane nezavisnih stručnjaka</w:t>
            </w:r>
          </w:p>
        </w:tc>
      </w:tr>
      <w:tr w:rsidR="001755DF" w:rsidRPr="0033148D" w14:paraId="297A86EB" w14:textId="77777777" w:rsidTr="00DA712E">
        <w:trPr>
          <w:trHeight w:val="718"/>
          <w:jc w:val="center"/>
        </w:trPr>
        <w:tc>
          <w:tcPr>
            <w:tcW w:w="410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7349731" w14:textId="3AD74552" w:rsidR="001755DF" w:rsidRPr="0033148D" w:rsidRDefault="001755DF"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98F2B6"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41A42DFF"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2856F78"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119" w:type="dxa"/>
            <w:tcBorders>
              <w:top w:val="single" w:sz="4" w:space="0" w:color="auto"/>
              <w:left w:val="nil"/>
              <w:bottom w:val="single" w:sz="4" w:space="0" w:color="auto"/>
              <w:right w:val="single" w:sz="4" w:space="0" w:color="auto"/>
            </w:tcBorders>
            <w:shd w:val="clear" w:color="000000" w:fill="F2F2F2"/>
            <w:vAlign w:val="center"/>
            <w:hideMark/>
          </w:tcPr>
          <w:p w14:paraId="641234A5" w14:textId="77777777" w:rsidR="001755DF" w:rsidRPr="0033148D" w:rsidRDefault="001755D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755DF" w:rsidRPr="0033148D" w14:paraId="7362D9F9" w14:textId="77777777" w:rsidTr="00DA712E">
        <w:trPr>
          <w:trHeight w:val="642"/>
          <w:jc w:val="center"/>
        </w:trPr>
        <w:tc>
          <w:tcPr>
            <w:tcW w:w="4106" w:type="dxa"/>
            <w:vMerge/>
            <w:tcBorders>
              <w:top w:val="single" w:sz="4" w:space="0" w:color="auto"/>
              <w:left w:val="single" w:sz="4" w:space="0" w:color="auto"/>
              <w:bottom w:val="single" w:sz="4" w:space="0" w:color="000000"/>
              <w:right w:val="single" w:sz="4" w:space="0" w:color="000000"/>
            </w:tcBorders>
            <w:vAlign w:val="center"/>
            <w:hideMark/>
          </w:tcPr>
          <w:p w14:paraId="5C96AB34" w14:textId="77777777" w:rsidR="001755DF" w:rsidRPr="0033148D" w:rsidRDefault="001755DF"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1B32CED2"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07351B78"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1B6B8185"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p>
        </w:tc>
        <w:tc>
          <w:tcPr>
            <w:tcW w:w="3119" w:type="dxa"/>
            <w:tcBorders>
              <w:top w:val="nil"/>
              <w:left w:val="nil"/>
              <w:bottom w:val="single" w:sz="4" w:space="0" w:color="auto"/>
              <w:right w:val="single" w:sz="4" w:space="0" w:color="auto"/>
            </w:tcBorders>
            <w:shd w:val="clear" w:color="auto" w:fill="A8D08D" w:themeFill="accent6" w:themeFillTint="99"/>
            <w:noWrap/>
            <w:vAlign w:val="center"/>
            <w:hideMark/>
          </w:tcPr>
          <w:p w14:paraId="06548444" w14:textId="77777777" w:rsidR="001755DF" w:rsidRPr="0033148D" w:rsidRDefault="001755DF"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1755DF" w:rsidRPr="0033148D" w14:paraId="7516A91A" w14:textId="77777777" w:rsidTr="0077598C">
        <w:trPr>
          <w:trHeight w:val="642"/>
          <w:jc w:val="center"/>
        </w:trPr>
        <w:tc>
          <w:tcPr>
            <w:tcW w:w="4106" w:type="dxa"/>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2512B48" w14:textId="1ED621D4" w:rsidR="001755DF" w:rsidRPr="0033148D" w:rsidRDefault="001755DF"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57" w:type="dxa"/>
            <w:gridSpan w:val="4"/>
            <w:tcBorders>
              <w:top w:val="nil"/>
              <w:left w:val="nil"/>
              <w:bottom w:val="single" w:sz="4" w:space="0" w:color="auto"/>
              <w:right w:val="single" w:sz="4" w:space="0" w:color="auto"/>
            </w:tcBorders>
            <w:shd w:val="clear" w:color="auto" w:fill="auto"/>
            <w:noWrap/>
            <w:vAlign w:val="center"/>
          </w:tcPr>
          <w:p w14:paraId="6EF62C84"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Nije bilo izmjena.</w:t>
            </w:r>
          </w:p>
        </w:tc>
      </w:tr>
      <w:tr w:rsidR="001755DF" w:rsidRPr="0033148D" w14:paraId="2BC8EAD6" w14:textId="77777777" w:rsidTr="0077598C">
        <w:trPr>
          <w:trHeight w:val="54"/>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62530B" w14:textId="1EDAAC63" w:rsidR="001755DF" w:rsidRPr="0033148D" w:rsidRDefault="001755DF" w:rsidP="001B696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4188591" w14:textId="77777777" w:rsidR="001755DF" w:rsidRPr="0033148D" w:rsidRDefault="001755DF" w:rsidP="0033148D">
            <w:pPr>
              <w:spacing w:line="240" w:lineRule="auto"/>
              <w:jc w:val="both"/>
            </w:pPr>
            <w:r w:rsidRPr="0033148D">
              <w:rPr>
                <w:u w:val="single"/>
              </w:rPr>
              <w:t>Vrednovanje učinaka provedbe Zakona o pravu na pristup informacijama od strane nezavisnih stručnjaka</w:t>
            </w:r>
            <w:r w:rsidRPr="0033148D">
              <w:t xml:space="preserve">: U sklopu C2.6. R2 Projekta „Unaprjeđenje provedbe Zakona o pravu na pristup informacijama“ provedeno je vrednovanje i objavljen Izvještaj o vrednovanju učinaka Zakona o pravu na pristup informacijama, na poveznici </w:t>
            </w:r>
            <w:hyperlink r:id="rId21" w:history="1">
              <w:r w:rsidRPr="0033148D">
                <w:rPr>
                  <w:rStyle w:val="Hyperlink"/>
                </w:rPr>
                <w:t>https://pristupinfo.hr/djelokrug/projekti/npoo/</w:t>
              </w:r>
            </w:hyperlink>
            <w:r w:rsidRPr="0033148D">
              <w:t>.</w:t>
            </w:r>
          </w:p>
        </w:tc>
      </w:tr>
      <w:tr w:rsidR="001755DF" w:rsidRPr="0033148D" w14:paraId="170C2DDB" w14:textId="77777777" w:rsidTr="004C73DF">
        <w:trPr>
          <w:trHeight w:val="431"/>
          <w:jc w:val="center"/>
        </w:trPr>
        <w:tc>
          <w:tcPr>
            <w:tcW w:w="410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0BFCFE6" w14:textId="0BB6BF7C" w:rsidR="001755DF" w:rsidRPr="0033148D" w:rsidRDefault="001755DF"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9793C2"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755DF" w:rsidRPr="0033148D" w14:paraId="71387ECC" w14:textId="77777777" w:rsidTr="004C73DF">
        <w:trPr>
          <w:trHeight w:val="431"/>
          <w:jc w:val="center"/>
        </w:trPr>
        <w:tc>
          <w:tcPr>
            <w:tcW w:w="4106"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47DCC3" w14:textId="5B1D9813" w:rsidR="001755DF" w:rsidRPr="0033148D" w:rsidRDefault="001755DF" w:rsidP="001B696E">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ECF323" w14:textId="77777777" w:rsidR="001755DF" w:rsidRPr="0033148D" w:rsidRDefault="001755D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Sve projektne aktivnosti su izvršene.</w:t>
            </w:r>
          </w:p>
        </w:tc>
      </w:tr>
    </w:tbl>
    <w:p w14:paraId="1F654655" w14:textId="77777777" w:rsidR="00160ECF" w:rsidRPr="0033148D" w:rsidRDefault="00160ECF" w:rsidP="0033148D">
      <w:pPr>
        <w:spacing w:line="240" w:lineRule="auto"/>
        <w:jc w:val="both"/>
        <w:rPr>
          <w:rFonts w:ascii="Arial" w:hAnsi="Arial" w:cs="Arial"/>
        </w:rPr>
      </w:pPr>
    </w:p>
    <w:p w14:paraId="0B47E5DA" w14:textId="77777777" w:rsidR="00AE28E4" w:rsidRPr="0033148D" w:rsidRDefault="00AE28E4" w:rsidP="00267611">
      <w:pPr>
        <w:pStyle w:val="Heading3"/>
      </w:pPr>
      <w:bookmarkStart w:id="11" w:name="_Toc95738535"/>
      <w:bookmarkStart w:id="12" w:name="_Toc183591318"/>
      <w:r w:rsidRPr="0033148D">
        <w:t>MJERA 2. UNAPRJEĐENJE PRIMJENE PROPISA KOJI UREĐUJU PODRUČJE ZAŠTITE OSOBNIH PODATAKA</w:t>
      </w:r>
      <w:bookmarkEnd w:id="11"/>
      <w:bookmarkEnd w:id="12"/>
    </w:p>
    <w:tbl>
      <w:tblPr>
        <w:tblW w:w="15446" w:type="dxa"/>
        <w:jc w:val="center"/>
        <w:tblLook w:val="04A0" w:firstRow="1" w:lastRow="0" w:firstColumn="1" w:lastColumn="0" w:noHBand="0" w:noVBand="1"/>
      </w:tblPr>
      <w:tblGrid>
        <w:gridCol w:w="1980"/>
        <w:gridCol w:w="2126"/>
        <w:gridCol w:w="2835"/>
        <w:gridCol w:w="2693"/>
        <w:gridCol w:w="2835"/>
        <w:gridCol w:w="2977"/>
      </w:tblGrid>
      <w:tr w:rsidR="001E2F93" w:rsidRPr="0033148D" w14:paraId="1AFBD166" w14:textId="77777777" w:rsidTr="00DA712E">
        <w:trPr>
          <w:trHeight w:val="70"/>
          <w:jc w:val="center"/>
        </w:trPr>
        <w:tc>
          <w:tcPr>
            <w:tcW w:w="1544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1BFFA8" w14:textId="13B96C1D" w:rsidR="001E2F93" w:rsidRPr="0033148D" w:rsidRDefault="00F355E7" w:rsidP="0033148D">
            <w:pPr>
              <w:pStyle w:val="Default"/>
              <w:jc w:val="center"/>
              <w:rPr>
                <w:rFonts w:asciiTheme="minorHAnsi" w:hAnsiTheme="minorHAnsi" w:cstheme="minorHAnsi"/>
                <w:b/>
                <w:bCs/>
                <w:sz w:val="22"/>
                <w:szCs w:val="22"/>
              </w:rPr>
            </w:pPr>
            <w:r w:rsidRPr="0033148D">
              <w:rPr>
                <w:b/>
                <w:sz w:val="22"/>
                <w:szCs w:val="22"/>
              </w:rPr>
              <w:t xml:space="preserve">Aktivnost </w:t>
            </w:r>
            <w:r w:rsidR="001E2F93" w:rsidRPr="0033148D">
              <w:rPr>
                <w:rFonts w:asciiTheme="minorHAnsi" w:hAnsiTheme="minorHAnsi" w:cstheme="minorHAnsi"/>
                <w:b/>
                <w:bCs/>
                <w:sz w:val="22"/>
                <w:szCs w:val="22"/>
              </w:rPr>
              <w:t xml:space="preserve">2.1. Provoditi edukacije sa aspekta propisa koji uređuju područje zaštite osobnih podataka </w:t>
            </w:r>
          </w:p>
          <w:p w14:paraId="582B94E4" w14:textId="77777777" w:rsidR="001E2F93" w:rsidRPr="0033148D" w:rsidRDefault="001E2F93" w:rsidP="0033148D">
            <w:pPr>
              <w:pStyle w:val="Default"/>
              <w:jc w:val="center"/>
              <w:rPr>
                <w:rFonts w:eastAsia="Times New Roman" w:cstheme="minorHAnsi"/>
                <w:b/>
                <w:bCs/>
                <w:sz w:val="22"/>
                <w:szCs w:val="22"/>
                <w:lang w:eastAsia="hr-HR"/>
              </w:rPr>
            </w:pPr>
            <w:r w:rsidRPr="0033148D">
              <w:rPr>
                <w:rFonts w:asciiTheme="minorHAnsi" w:hAnsiTheme="minorHAnsi" w:cstheme="minorHAnsi"/>
                <w:b/>
                <w:bCs/>
                <w:sz w:val="22"/>
                <w:szCs w:val="22"/>
              </w:rPr>
              <w:t xml:space="preserve">s naglaskom na Opću uredbu o zaštiti podataka </w:t>
            </w:r>
          </w:p>
        </w:tc>
      </w:tr>
      <w:tr w:rsidR="001E2F93" w:rsidRPr="0033148D" w14:paraId="4509E17C" w14:textId="77777777" w:rsidTr="001B696E">
        <w:trPr>
          <w:trHeight w:val="49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3E6099F" w14:textId="5577042F" w:rsidR="001E2F93" w:rsidRPr="0033148D" w:rsidRDefault="005D670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45563A" w14:textId="0588BC71" w:rsidR="001E2F93" w:rsidRPr="0033148D" w:rsidRDefault="001E2F93" w:rsidP="0033148D">
            <w:pPr>
              <w:pStyle w:val="Default"/>
              <w:rPr>
                <w:rFonts w:asciiTheme="minorHAnsi" w:hAnsiTheme="minorHAnsi" w:cstheme="minorHAnsi"/>
                <w:sz w:val="22"/>
                <w:szCs w:val="22"/>
              </w:rPr>
            </w:pPr>
            <w:r w:rsidRPr="0033148D">
              <w:rPr>
                <w:rFonts w:asciiTheme="minorHAnsi" w:hAnsiTheme="minorHAnsi" w:cstheme="minorHAnsi"/>
                <w:sz w:val="22"/>
                <w:szCs w:val="22"/>
              </w:rPr>
              <w:t>Agenci</w:t>
            </w:r>
            <w:r w:rsidR="00DA712E" w:rsidRPr="0033148D">
              <w:rPr>
                <w:rFonts w:asciiTheme="minorHAnsi" w:hAnsiTheme="minorHAnsi" w:cstheme="minorHAnsi"/>
                <w:sz w:val="22"/>
                <w:szCs w:val="22"/>
              </w:rPr>
              <w:t xml:space="preserve">ja za zaštitu osobnih podataka </w:t>
            </w:r>
          </w:p>
        </w:tc>
      </w:tr>
      <w:tr w:rsidR="001E2F93" w:rsidRPr="0033148D" w14:paraId="77FAACE4" w14:textId="77777777" w:rsidTr="001B696E">
        <w:trPr>
          <w:trHeight w:val="55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06C5C8E" w14:textId="7C150D81" w:rsidR="001E2F93" w:rsidRPr="0033148D" w:rsidRDefault="005D6701"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58275527" w14:textId="77777777" w:rsidR="001E2F93" w:rsidRPr="0033148D" w:rsidRDefault="00851C76" w:rsidP="0033148D">
            <w:pPr>
              <w:pStyle w:val="Default"/>
              <w:rPr>
                <w:rFonts w:ascii="Calibri" w:eastAsia="Times New Roman" w:hAnsi="Calibri" w:cs="Times New Roman"/>
                <w:sz w:val="22"/>
                <w:szCs w:val="22"/>
                <w:lang w:eastAsia="hr-HR"/>
              </w:rPr>
            </w:pPr>
            <w:r w:rsidRPr="0033148D">
              <w:rPr>
                <w:rFonts w:asciiTheme="minorHAnsi" w:hAnsiTheme="minorHAnsi" w:cstheme="minorHAnsi"/>
                <w:sz w:val="22"/>
                <w:szCs w:val="22"/>
              </w:rPr>
              <w:t>Državna škola za javnu upravu</w:t>
            </w:r>
          </w:p>
        </w:tc>
      </w:tr>
      <w:tr w:rsidR="001E2F93" w:rsidRPr="0033148D" w14:paraId="23C72F10" w14:textId="77777777" w:rsidTr="0083271E">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6C791C0"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112F5462"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5FC50113" w14:textId="14201C37" w:rsidR="001E2F93" w:rsidRPr="0033148D" w:rsidRDefault="00DA712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E2F93" w:rsidRPr="0033148D" w14:paraId="668D430E" w14:textId="77777777" w:rsidTr="0083271E">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2B6547A3" w14:textId="77777777" w:rsidR="001E2F93" w:rsidRPr="0033148D" w:rsidRDefault="001E2F93"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677A1559"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5191EF11" w14:textId="3F5E04B7" w:rsidR="001E2F93" w:rsidRPr="0033148D" w:rsidRDefault="00DA712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E2F93" w:rsidRPr="0033148D" w14:paraId="26413290" w14:textId="77777777" w:rsidTr="001B696E">
        <w:trPr>
          <w:trHeight w:val="53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4A5B25C" w14:textId="38B3DE8B" w:rsidR="001E2F93" w:rsidRPr="0033148D" w:rsidRDefault="001E2F93"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13B873DA" w14:textId="77777777" w:rsidR="001E2F93" w:rsidRPr="0033148D" w:rsidRDefault="00851C76" w:rsidP="0033148D">
            <w:pPr>
              <w:pStyle w:val="Default"/>
              <w:rPr>
                <w:rFonts w:ascii="Calibri" w:eastAsia="Times New Roman" w:hAnsi="Calibri" w:cs="Times New Roman"/>
                <w:sz w:val="22"/>
                <w:szCs w:val="22"/>
                <w:lang w:eastAsia="hr-HR"/>
              </w:rPr>
            </w:pPr>
            <w:r w:rsidRPr="0033148D">
              <w:rPr>
                <w:rFonts w:asciiTheme="minorHAnsi" w:hAnsiTheme="minorHAnsi" w:cstheme="minorHAnsi"/>
                <w:sz w:val="22"/>
                <w:szCs w:val="22"/>
              </w:rPr>
              <w:t>U tijeku</w:t>
            </w:r>
          </w:p>
        </w:tc>
      </w:tr>
      <w:tr w:rsidR="001E2F93" w:rsidRPr="0033148D" w14:paraId="313CF797" w14:textId="77777777" w:rsidTr="001B696E">
        <w:trPr>
          <w:trHeight w:val="53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66E421E" w14:textId="69C1C7F8" w:rsidR="001E2F93" w:rsidRPr="0033148D" w:rsidRDefault="001E2F93"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4EEB3AD6" w14:textId="77777777" w:rsidR="001E2F93" w:rsidRPr="0033148D" w:rsidRDefault="001E2F93" w:rsidP="0033148D">
            <w:pPr>
              <w:pStyle w:val="Default"/>
              <w:rPr>
                <w:rFonts w:eastAsia="Times New Roman" w:cstheme="minorHAnsi"/>
                <w:sz w:val="22"/>
                <w:szCs w:val="22"/>
                <w:lang w:eastAsia="hr-HR"/>
              </w:rPr>
            </w:pPr>
            <w:r w:rsidRPr="0033148D">
              <w:rPr>
                <w:rFonts w:asciiTheme="minorHAnsi" w:hAnsiTheme="minorHAnsi" w:cstheme="minorHAnsi"/>
                <w:sz w:val="22"/>
                <w:szCs w:val="22"/>
              </w:rPr>
              <w:t>prosinac 2023. (za predmetno izvještajno razdobl</w:t>
            </w:r>
            <w:r w:rsidR="00851C76" w:rsidRPr="0033148D">
              <w:rPr>
                <w:rFonts w:asciiTheme="minorHAnsi" w:hAnsiTheme="minorHAnsi" w:cstheme="minorHAnsi"/>
                <w:sz w:val="22"/>
                <w:szCs w:val="22"/>
              </w:rPr>
              <w:t>je)</w:t>
            </w:r>
          </w:p>
        </w:tc>
      </w:tr>
      <w:tr w:rsidR="001E2F93" w:rsidRPr="0033148D" w14:paraId="68CBEBC7" w14:textId="77777777" w:rsidTr="001B696E">
        <w:trPr>
          <w:trHeight w:val="53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8708749" w14:textId="7E6729BF" w:rsidR="001E2F93" w:rsidRPr="0033148D" w:rsidRDefault="00A20739"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0CBDCF71" w14:textId="3415EA8D" w:rsidR="001E2F93" w:rsidRPr="0033148D" w:rsidRDefault="001E2F93" w:rsidP="0033148D">
            <w:pPr>
              <w:pStyle w:val="Default"/>
              <w:jc w:val="both"/>
              <w:rPr>
                <w:rFonts w:eastAsia="Times New Roman" w:cstheme="minorHAnsi"/>
                <w:sz w:val="22"/>
                <w:szCs w:val="22"/>
                <w:lang w:eastAsia="hr-HR"/>
              </w:rPr>
            </w:pPr>
            <w:r w:rsidRPr="0033148D">
              <w:rPr>
                <w:rFonts w:asciiTheme="minorHAnsi" w:hAnsiTheme="minorHAnsi" w:cstheme="minorHAnsi"/>
                <w:sz w:val="22"/>
                <w:szCs w:val="22"/>
              </w:rPr>
              <w:t xml:space="preserve">Provedba edukacija o primjeni propisa koji uređuju područje zaštite osobnih podataka s naglaskom na Opću uredbu o zaštiti podataka u suradnji s Državnom školom za javnu upravu – 6 godišnje </w:t>
            </w:r>
          </w:p>
        </w:tc>
      </w:tr>
      <w:tr w:rsidR="001E2F93" w:rsidRPr="0033148D" w14:paraId="61D0B752" w14:textId="77777777" w:rsidTr="0083271E">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CEDB865" w14:textId="57F0AFF7" w:rsidR="001E2F93" w:rsidRPr="0033148D" w:rsidRDefault="001E2F93" w:rsidP="001B696E">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6C7EB9C"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7EA68F51"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6D519D9"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484D8AC0" w14:textId="77777777" w:rsidR="001E2F93" w:rsidRPr="0033148D" w:rsidRDefault="001E2F93"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E2F93" w:rsidRPr="0033148D" w14:paraId="5FD8CAD4" w14:textId="77777777" w:rsidTr="0083271E">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1F15C13F" w14:textId="77777777" w:rsidR="001E2F93" w:rsidRPr="0033148D" w:rsidRDefault="001E2F93" w:rsidP="0033148D">
            <w:pPr>
              <w:spacing w:after="0" w:line="240" w:lineRule="auto"/>
              <w:rPr>
                <w:rFonts w:ascii="Calibri" w:eastAsia="Times New Roman" w:hAnsi="Calibri" w:cs="Times New Roman"/>
                <w:b/>
                <w:bCs/>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20A35C6A" w14:textId="77777777" w:rsidR="001E2F93" w:rsidRPr="0033148D" w:rsidRDefault="001E2F93"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61D0FC5" w14:textId="77777777" w:rsidR="001E2F93" w:rsidRPr="0033148D" w:rsidRDefault="001E2F93"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13F2DA6D" w14:textId="77777777" w:rsidR="001E2F93" w:rsidRPr="0033148D" w:rsidRDefault="001E2F93" w:rsidP="0033148D">
            <w:pPr>
              <w:spacing w:after="0" w:line="240" w:lineRule="auto"/>
              <w:jc w:val="center"/>
              <w:rPr>
                <w:rFonts w:ascii="Calibri" w:eastAsia="Times New Roman" w:hAnsi="Calibri" w:cs="Times New Roman"/>
                <w:color w:val="000000"/>
                <w:lang w:eastAsia="hr-HR"/>
              </w:rPr>
            </w:pPr>
          </w:p>
        </w:tc>
        <w:tc>
          <w:tcPr>
            <w:tcW w:w="2977" w:type="dxa"/>
            <w:tcBorders>
              <w:top w:val="nil"/>
              <w:left w:val="nil"/>
              <w:bottom w:val="single" w:sz="4" w:space="0" w:color="auto"/>
              <w:right w:val="single" w:sz="4" w:space="0" w:color="auto"/>
            </w:tcBorders>
            <w:shd w:val="clear" w:color="auto" w:fill="A8D08D" w:themeFill="accent6" w:themeFillTint="99"/>
            <w:noWrap/>
            <w:vAlign w:val="center"/>
            <w:hideMark/>
          </w:tcPr>
          <w:p w14:paraId="66B2439D" w14:textId="5A975F63" w:rsidR="001E2F93" w:rsidRPr="0033148D" w:rsidRDefault="0060410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1E2F93" w:rsidRPr="0033148D" w14:paraId="551B1646" w14:textId="77777777" w:rsidTr="0083271E">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AEA1D54" w14:textId="19BA01E8" w:rsidR="001E2F93" w:rsidRPr="0033148D" w:rsidRDefault="001E2F93"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1340" w:type="dxa"/>
            <w:gridSpan w:val="4"/>
            <w:tcBorders>
              <w:top w:val="nil"/>
              <w:left w:val="nil"/>
              <w:bottom w:val="single" w:sz="4" w:space="0" w:color="auto"/>
              <w:right w:val="single" w:sz="4" w:space="0" w:color="auto"/>
            </w:tcBorders>
            <w:shd w:val="clear" w:color="auto" w:fill="auto"/>
            <w:noWrap/>
            <w:vAlign w:val="center"/>
          </w:tcPr>
          <w:p w14:paraId="2273F217" w14:textId="2E183987" w:rsidR="001E2F93"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Nije bilo izmjena.</w:t>
            </w:r>
          </w:p>
        </w:tc>
      </w:tr>
      <w:tr w:rsidR="001E2F93" w:rsidRPr="0033148D" w14:paraId="312A8327" w14:textId="77777777" w:rsidTr="0083271E">
        <w:trPr>
          <w:trHeight w:val="23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B3264EF" w14:textId="4FB14775" w:rsidR="001E2F93" w:rsidRPr="0033148D" w:rsidRDefault="001E2F93" w:rsidP="001B696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56CEB6" w14:textId="65077027" w:rsidR="001E2F93" w:rsidRPr="0033148D" w:rsidRDefault="001E2F93" w:rsidP="00E60FCA">
            <w:pPr>
              <w:pStyle w:val="Default"/>
              <w:spacing w:after="120"/>
              <w:jc w:val="both"/>
              <w:rPr>
                <w:rFonts w:asciiTheme="minorHAnsi" w:hAnsiTheme="minorHAnsi" w:cstheme="minorHAnsi"/>
                <w:sz w:val="22"/>
                <w:szCs w:val="22"/>
              </w:rPr>
            </w:pPr>
            <w:r w:rsidRPr="0033148D">
              <w:rPr>
                <w:rFonts w:asciiTheme="minorHAnsi" w:hAnsiTheme="minorHAnsi" w:cstheme="minorHAnsi"/>
                <w:sz w:val="22"/>
                <w:szCs w:val="22"/>
              </w:rPr>
              <w:t>Povećana razina svijesti o važnosti zaštite osobnih podataka te o pravima i obvezama kako ispitanika tako i voditelja i izvršitelja obrade, educiranost o ulozi, važnosti i zadaćama službenika za zaštitu osobnih podataka kao i ukupne provedbe svih upravnih i stručnih poslova koji proizlaze iz Opće uredbe o zaštiti podataka te Zakona o provedbi Opće uredbe o zaštiti podataka. (prema analizi pokazatelja iz ukupnosti operativno-nadzornih i savjetodavno-edukativnih aktivnosti AZOP-a)</w:t>
            </w:r>
            <w:r w:rsidR="00DD2658">
              <w:rPr>
                <w:rFonts w:asciiTheme="minorHAnsi" w:hAnsiTheme="minorHAnsi" w:cstheme="minorHAnsi"/>
                <w:sz w:val="22"/>
                <w:szCs w:val="22"/>
              </w:rPr>
              <w:t>.</w:t>
            </w:r>
          </w:p>
          <w:p w14:paraId="15F34854" w14:textId="77777777" w:rsidR="001E2F93" w:rsidRPr="0033148D" w:rsidRDefault="001E2F93" w:rsidP="00E60FCA">
            <w:pPr>
              <w:pStyle w:val="Default"/>
              <w:spacing w:after="120"/>
              <w:jc w:val="both"/>
              <w:rPr>
                <w:rFonts w:asciiTheme="minorHAnsi" w:hAnsiTheme="minorHAnsi" w:cstheme="minorHAnsi"/>
                <w:sz w:val="22"/>
                <w:szCs w:val="22"/>
              </w:rPr>
            </w:pPr>
            <w:r w:rsidRPr="0033148D">
              <w:rPr>
                <w:rFonts w:asciiTheme="minorHAnsi" w:hAnsiTheme="minorHAnsi" w:cstheme="minorHAnsi"/>
                <w:sz w:val="22"/>
                <w:szCs w:val="22"/>
              </w:rPr>
              <w:t xml:space="preserve">Pravodobna i kontinuirana edukacija je relevantna za ostvarivanje vrijednosti Partnerstva za otvorenu vlast jer povećava transparentnost tijela javne vlasti, omogućuje interaktivnu razmjenu iskustva sudionika iz prakse te Agencije za zaštitu osobnih podataka u svrhu olakšavanja te poboljšanja njihovog rada, a u okviru prava i obveza koje proizlaze iz Opće uredbe o zaštiti podataka te Zakona o provedbi Opće uredbe o zaštiti podataka. </w:t>
            </w:r>
          </w:p>
        </w:tc>
      </w:tr>
      <w:tr w:rsidR="001E2F93" w:rsidRPr="0033148D" w14:paraId="547938A4"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DCF4C43" w14:textId="07368BF1" w:rsidR="001E2F93" w:rsidRPr="0033148D" w:rsidRDefault="001E2F93" w:rsidP="001B696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4ADA3FF" w14:textId="77777777" w:rsidR="001E2F93" w:rsidRPr="0033148D" w:rsidRDefault="00851C76"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E2F93" w:rsidRPr="0033148D" w14:paraId="50EAE8D6"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7EBE99" w14:textId="68125CDC" w:rsidR="001E2F93" w:rsidRPr="0033148D" w:rsidRDefault="001E2F93" w:rsidP="001B696E">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E62D750" w14:textId="77777777" w:rsidR="001E2F93" w:rsidRPr="0033148D" w:rsidRDefault="001E2F93"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Planiran je nastavak predmetne aktivnosti (s otvorenom mogućnosti za određene sadržajno-provedbene modifikacije). </w:t>
            </w:r>
          </w:p>
        </w:tc>
      </w:tr>
    </w:tbl>
    <w:p w14:paraId="5EF32C3D" w14:textId="77777777" w:rsidR="00AE28E4" w:rsidRPr="0033148D" w:rsidRDefault="00AE28E4" w:rsidP="0033148D">
      <w:pPr>
        <w:spacing w:line="240" w:lineRule="auto"/>
      </w:pPr>
    </w:p>
    <w:p w14:paraId="31F4F97A" w14:textId="77777777" w:rsidR="00AE28E4" w:rsidRPr="0033148D" w:rsidRDefault="00AE28E4" w:rsidP="00267611">
      <w:pPr>
        <w:pStyle w:val="Heading3"/>
      </w:pPr>
      <w:bookmarkStart w:id="13" w:name="_Toc95738536"/>
      <w:bookmarkStart w:id="14" w:name="_Toc183591319"/>
      <w:r w:rsidRPr="0033148D">
        <w:t>MJERA 3. FISKALNA TRANSPARENTNOST</w:t>
      </w:r>
      <w:bookmarkEnd w:id="13"/>
      <w:bookmarkEnd w:id="14"/>
    </w:p>
    <w:tbl>
      <w:tblPr>
        <w:tblW w:w="15871" w:type="dxa"/>
        <w:jc w:val="center"/>
        <w:tblLook w:val="04A0" w:firstRow="1" w:lastRow="0" w:firstColumn="1" w:lastColumn="0" w:noHBand="0" w:noVBand="1"/>
      </w:tblPr>
      <w:tblGrid>
        <w:gridCol w:w="1980"/>
        <w:gridCol w:w="2126"/>
        <w:gridCol w:w="2693"/>
        <w:gridCol w:w="2694"/>
        <w:gridCol w:w="2835"/>
        <w:gridCol w:w="3543"/>
      </w:tblGrid>
      <w:tr w:rsidR="00C3788A" w:rsidRPr="0033148D" w14:paraId="0B848531" w14:textId="77777777" w:rsidTr="001B696E">
        <w:trPr>
          <w:trHeight w:val="528"/>
          <w:jc w:val="center"/>
        </w:trPr>
        <w:tc>
          <w:tcPr>
            <w:tcW w:w="158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2FEC2F" w14:textId="518319E1" w:rsidR="00C3788A"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C3788A" w:rsidRPr="0033148D">
              <w:rPr>
                <w:rFonts w:ascii="Calibri" w:eastAsia="Times New Roman" w:hAnsi="Calibri" w:cs="Times New Roman"/>
                <w:b/>
                <w:bCs/>
                <w:color w:val="000000"/>
                <w:lang w:eastAsia="hr-HR"/>
              </w:rPr>
              <w:t xml:space="preserve">3.1. Povećati vidljivost i upotrebu baze podataka o izvršenim plaćanjima </w:t>
            </w:r>
            <w:r w:rsidR="00E67651">
              <w:rPr>
                <w:rFonts w:ascii="Calibri" w:eastAsia="Times New Roman" w:hAnsi="Calibri" w:cs="Times New Roman"/>
                <w:b/>
                <w:bCs/>
                <w:color w:val="000000"/>
                <w:lang w:eastAsia="hr-HR"/>
              </w:rPr>
              <w:t xml:space="preserve">s jedinstvenog računa </w:t>
            </w:r>
            <w:r w:rsidR="00C3788A" w:rsidRPr="0033148D">
              <w:rPr>
                <w:rFonts w:ascii="Calibri" w:eastAsia="Times New Roman" w:hAnsi="Calibri" w:cs="Times New Roman"/>
                <w:b/>
                <w:bCs/>
                <w:color w:val="000000"/>
                <w:lang w:eastAsia="hr-HR"/>
              </w:rPr>
              <w:t>državnog proračuna</w:t>
            </w:r>
          </w:p>
        </w:tc>
      </w:tr>
      <w:tr w:rsidR="00C3788A" w:rsidRPr="0033148D" w14:paraId="00D67C27" w14:textId="77777777" w:rsidTr="001B696E">
        <w:trPr>
          <w:trHeight w:val="52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20D453A" w14:textId="2508EDD8" w:rsidR="00C3788A" w:rsidRPr="0033148D" w:rsidRDefault="00EB44F2"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256D14" w14:textId="5E2632F4" w:rsidR="00C3788A" w:rsidRPr="0033148D" w:rsidRDefault="00EB44F2"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financija</w:t>
            </w:r>
          </w:p>
        </w:tc>
      </w:tr>
      <w:tr w:rsidR="00C3788A" w:rsidRPr="0033148D" w14:paraId="49880104" w14:textId="77777777" w:rsidTr="001B696E">
        <w:trPr>
          <w:trHeight w:val="52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C269133" w14:textId="4753B3A9" w:rsidR="00C3788A" w:rsidRPr="0033148D" w:rsidRDefault="00EB44F2"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lastRenderedPageBreak/>
              <w:t>Sunositelj</w:t>
            </w:r>
            <w:proofErr w:type="spellEnd"/>
            <w:r w:rsidRPr="0033148D">
              <w:rPr>
                <w:rFonts w:ascii="Calibri" w:eastAsia="Times New Roman" w:hAnsi="Calibri" w:cs="Times New Roman"/>
                <w:b/>
                <w:bCs/>
                <w:color w:val="000000"/>
                <w:lang w:eastAsia="hr-HR"/>
              </w:rPr>
              <w:t>(i) aktivnosti:</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5E9D09A6"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financija - Državna riznica, Sektor za izvršavanje državnog proračuna</w:t>
            </w:r>
          </w:p>
        </w:tc>
      </w:tr>
      <w:tr w:rsidR="00C3788A" w:rsidRPr="0033148D" w14:paraId="74D89297" w14:textId="77777777" w:rsidTr="00A20739">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19BDCE2"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3758931"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5F1CF464" w14:textId="4627CDA8" w:rsidR="00C3788A" w:rsidRPr="0033148D" w:rsidRDefault="00EB44F2"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71E99B18" w14:textId="77777777" w:rsidTr="00A20739">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337CAB22" w14:textId="77777777"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50BE0FFE"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2678588B" w14:textId="1967709B" w:rsidR="00C3788A" w:rsidRPr="0033148D" w:rsidRDefault="00EB44F2"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458383B6"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0FD98CC" w14:textId="00385CCE"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4BDBACDD"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C3788A" w:rsidRPr="0033148D" w14:paraId="3B0DF993"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3DC6342" w14:textId="3FDA84B5"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48D8AA66"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kontinuirano</w:t>
            </w:r>
          </w:p>
        </w:tc>
      </w:tr>
      <w:tr w:rsidR="00C3788A" w:rsidRPr="0033148D" w14:paraId="04372B31" w14:textId="77777777" w:rsidTr="00A20739">
        <w:trPr>
          <w:trHeight w:val="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B4B1409" w14:textId="5765C515" w:rsidR="00C3788A" w:rsidRPr="0033148D" w:rsidRDefault="00A20739"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Pokazatelji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1A4C8280"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Povećanje frekvencije osvježavanja podataka u strojno čitljivom obliku dostupnih na mrežnoj stranici Ministarstva financija na tjednoj razini</w:t>
            </w:r>
          </w:p>
        </w:tc>
      </w:tr>
      <w:tr w:rsidR="00C3788A" w:rsidRPr="0033148D" w14:paraId="40889E2D" w14:textId="77777777" w:rsidTr="00A20739">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3809D3D" w14:textId="77777777" w:rsidR="00C3788A" w:rsidRPr="0033148D" w:rsidRDefault="00C3788A"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 xml:space="preserve">Stupanj provedenosti: </w:t>
            </w:r>
          </w:p>
          <w:p w14:paraId="081D0DF9" w14:textId="77777777" w:rsidR="00C3788A" w:rsidRPr="0033148D" w:rsidRDefault="00C3788A" w:rsidP="0033148D">
            <w:pPr>
              <w:spacing w:after="0" w:line="240" w:lineRule="auto"/>
              <w:rPr>
                <w:rFonts w:ascii="Calibri" w:eastAsia="Times New Roman" w:hAnsi="Calibri" w:cs="Times New Roman"/>
                <w:bCs/>
                <w:i/>
                <w:lang w:eastAsia="hr-HR"/>
              </w:rPr>
            </w:pPr>
            <w:r w:rsidRPr="0033148D">
              <w:rPr>
                <w:rFonts w:ascii="Calibri" w:eastAsia="Times New Roman" w:hAnsi="Calibri" w:cs="Times New Roman"/>
                <w:bCs/>
                <w:i/>
                <w:lang w:eastAsia="hr-HR"/>
              </w:rPr>
              <w:t>(označite sa x)</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DADB0A5"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6B5E83B4"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23EF8176"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znatnoj mjeri</w:t>
            </w:r>
          </w:p>
        </w:tc>
        <w:tc>
          <w:tcPr>
            <w:tcW w:w="3543" w:type="dxa"/>
            <w:tcBorders>
              <w:top w:val="single" w:sz="4" w:space="0" w:color="auto"/>
              <w:left w:val="nil"/>
              <w:bottom w:val="single" w:sz="4" w:space="0" w:color="auto"/>
              <w:right w:val="single" w:sz="4" w:space="0" w:color="auto"/>
            </w:tcBorders>
            <w:shd w:val="clear" w:color="000000" w:fill="F2F2F2"/>
            <w:vAlign w:val="center"/>
            <w:hideMark/>
          </w:tcPr>
          <w:p w14:paraId="36464317"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potpunosti</w:t>
            </w:r>
          </w:p>
        </w:tc>
      </w:tr>
      <w:tr w:rsidR="00C3788A" w:rsidRPr="0033148D" w14:paraId="684F4DC7" w14:textId="77777777" w:rsidTr="00A20739">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5428EF80" w14:textId="77777777" w:rsidR="00C3788A" w:rsidRPr="0033148D" w:rsidRDefault="00C3788A" w:rsidP="0033148D">
            <w:pPr>
              <w:spacing w:after="0" w:line="240" w:lineRule="auto"/>
              <w:rPr>
                <w:rFonts w:ascii="Calibri" w:eastAsia="Times New Roman" w:hAnsi="Calibri" w:cs="Times New Roman"/>
                <w:b/>
                <w:bCs/>
                <w:color w:val="FF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4178E275" w14:textId="77777777" w:rsidR="00C3788A" w:rsidRPr="0033148D" w:rsidRDefault="00C3788A" w:rsidP="0033148D">
            <w:pPr>
              <w:spacing w:after="0" w:line="240" w:lineRule="auto"/>
              <w:jc w:val="center"/>
              <w:rPr>
                <w:rFonts w:ascii="Calibri" w:eastAsia="Times New Roman" w:hAnsi="Calibri" w:cs="Times New Roman"/>
                <w:color w:val="FF0000"/>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55947DFE" w14:textId="77777777" w:rsidR="00C3788A" w:rsidRPr="0033148D" w:rsidRDefault="00C3788A" w:rsidP="0033148D">
            <w:pPr>
              <w:spacing w:after="0" w:line="240" w:lineRule="auto"/>
              <w:jc w:val="center"/>
              <w:rPr>
                <w:rFonts w:ascii="Calibri" w:eastAsia="Times New Roman" w:hAnsi="Calibri" w:cs="Times New Roman"/>
                <w:color w:val="FF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3CB24ACC" w14:textId="77777777" w:rsidR="00C3788A" w:rsidRPr="0033148D" w:rsidRDefault="00C3788A" w:rsidP="0033148D">
            <w:pPr>
              <w:spacing w:after="0" w:line="240" w:lineRule="auto"/>
              <w:jc w:val="center"/>
              <w:rPr>
                <w:rFonts w:ascii="Calibri" w:eastAsia="Times New Roman" w:hAnsi="Calibri" w:cs="Times New Roman"/>
                <w:color w:val="FF0000"/>
                <w:lang w:eastAsia="hr-HR"/>
              </w:rPr>
            </w:pPr>
          </w:p>
        </w:tc>
        <w:tc>
          <w:tcPr>
            <w:tcW w:w="3543" w:type="dxa"/>
            <w:tcBorders>
              <w:top w:val="nil"/>
              <w:left w:val="nil"/>
              <w:bottom w:val="single" w:sz="4" w:space="0" w:color="auto"/>
              <w:right w:val="single" w:sz="4" w:space="0" w:color="auto"/>
            </w:tcBorders>
            <w:shd w:val="clear" w:color="auto" w:fill="A8D08D" w:themeFill="accent6" w:themeFillTint="99"/>
            <w:noWrap/>
            <w:vAlign w:val="center"/>
            <w:hideMark/>
          </w:tcPr>
          <w:p w14:paraId="1EEC3F91" w14:textId="77777777" w:rsidR="00C3788A" w:rsidRPr="0033148D" w:rsidRDefault="00C3788A" w:rsidP="0033148D">
            <w:pPr>
              <w:spacing w:after="0" w:line="240" w:lineRule="auto"/>
              <w:jc w:val="center"/>
              <w:rPr>
                <w:rFonts w:ascii="Calibri" w:eastAsia="Times New Roman" w:hAnsi="Calibri" w:cs="Times New Roman"/>
                <w:color w:val="FF0000"/>
                <w:lang w:eastAsia="hr-HR"/>
              </w:rPr>
            </w:pPr>
            <w:r w:rsidRPr="0033148D">
              <w:rPr>
                <w:rFonts w:ascii="Calibri" w:eastAsia="Times New Roman" w:hAnsi="Calibri" w:cs="Times New Roman"/>
                <w:lang w:eastAsia="hr-HR"/>
              </w:rPr>
              <w:t>x</w:t>
            </w:r>
          </w:p>
        </w:tc>
      </w:tr>
      <w:tr w:rsidR="00C3788A" w:rsidRPr="0033148D" w14:paraId="03EAF779" w14:textId="77777777" w:rsidTr="00A20739">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567BCA9" w14:textId="61792D4D" w:rsidR="00C3788A" w:rsidRPr="0033148D" w:rsidRDefault="00C3788A" w:rsidP="000C1E91">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Izmjene aktivnosti:</w:t>
            </w:r>
          </w:p>
        </w:tc>
        <w:tc>
          <w:tcPr>
            <w:tcW w:w="11765" w:type="dxa"/>
            <w:gridSpan w:val="4"/>
            <w:tcBorders>
              <w:top w:val="nil"/>
              <w:left w:val="nil"/>
              <w:bottom w:val="single" w:sz="4" w:space="0" w:color="auto"/>
              <w:right w:val="single" w:sz="4" w:space="0" w:color="auto"/>
            </w:tcBorders>
            <w:shd w:val="clear" w:color="auto" w:fill="auto"/>
            <w:noWrap/>
            <w:vAlign w:val="center"/>
          </w:tcPr>
          <w:p w14:paraId="37BD726A" w14:textId="77777777" w:rsidR="00C3788A" w:rsidRPr="0033148D" w:rsidRDefault="00C3788A" w:rsidP="00E60FCA">
            <w:pPr>
              <w:spacing w:after="12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 xml:space="preserve">U 2023. godini ministar financija je donio 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(Narodne novine, broj 59/23.), u kojem je propisano da Ministarstvo financija može na svojoj mrežnoj stranici objavljivati informacije o trošenju sredstava proračunskih i izvanproračunskih korisnika državnog proračuna za isplate izvršene putem jedinstvenog računa državnog proračuna. U izvještajnom razdoblju provedena je nadogradnja aplikacije </w:t>
            </w:r>
            <w:r w:rsidRPr="0033148D">
              <w:rPr>
                <w:rFonts w:ascii="Calibri" w:eastAsia="Times New Roman" w:hAnsi="Calibri" w:cs="Times New Roman"/>
                <w:i/>
                <w:lang w:eastAsia="hr-HR"/>
              </w:rPr>
              <w:t xml:space="preserve">Upit o plaćanjima iz državnog proračuna po dobavljačima za određenu proračunski godinu </w:t>
            </w:r>
            <w:r w:rsidRPr="0033148D">
              <w:rPr>
                <w:rFonts w:ascii="Calibri" w:eastAsia="Times New Roman" w:hAnsi="Calibri" w:cs="Times New Roman"/>
                <w:lang w:eastAsia="hr-HR"/>
              </w:rPr>
              <w:t>čime je obuhvaćen veći broj transakcija iz državnog proračuna koje će se javno objavljivati sukladno odredbama Naputka i omogućen je način pretraživanja podataka po više parametara nego što je bilo do sada.</w:t>
            </w:r>
          </w:p>
          <w:p w14:paraId="79DB303C" w14:textId="73D33E15" w:rsidR="00C3788A" w:rsidRPr="0033148D" w:rsidRDefault="00C3788A" w:rsidP="00E60FCA">
            <w:pPr>
              <w:spacing w:after="12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 xml:space="preserve">Nova aplikacija </w:t>
            </w:r>
            <w:r w:rsidRPr="0033148D">
              <w:rPr>
                <w:rFonts w:ascii="Calibri" w:eastAsia="Times New Roman" w:hAnsi="Calibri" w:cs="Times New Roman"/>
                <w:i/>
                <w:lang w:eastAsia="hr-HR"/>
              </w:rPr>
              <w:t xml:space="preserve">Upit o trošenju sredstava državnog proračuna </w:t>
            </w:r>
            <w:r w:rsidRPr="0033148D">
              <w:rPr>
                <w:rFonts w:ascii="Calibri" w:eastAsia="Times New Roman" w:hAnsi="Calibri" w:cs="Times New Roman"/>
                <w:lang w:eastAsia="hr-HR"/>
              </w:rPr>
              <w:t xml:space="preserve">zamjenjuje dosadašnju aplikaciju „Upit po dobavljačima“ i pruža proširene mogućnosti pregleda isplata i strukturiranja podataka. Podaci o isplatama s jedinstvenog računa državnog proračuna mogu se pretraživati po primateljima sredstava, koji sada pored pravnih osoba, uključuju i fizičke osobe i primatelje sredstava izvan Republike Hrvatske, po isplatitelju sredstava (proračunskom i izvanproračunskom korisniku koji je dao nalog za isplatu) te po vrsti troška. Aplikacija omogućava kombinaciju više parametara pretrage te izvoz podataka u strojno čitljivom obliku. Klasificirani podaci prema zakonu kojim je uređena tajnost podataka i podaci čija bi objava bila protivna posebnim propisima ne objavljuju se. </w:t>
            </w:r>
          </w:p>
          <w:p w14:paraId="68D664EE" w14:textId="77777777" w:rsidR="00C3788A" w:rsidRPr="0033148D" w:rsidRDefault="00C3788A" w:rsidP="00E60FCA">
            <w:pPr>
              <w:spacing w:after="12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Podaci o isplatama osvježavaju se svakog radnog dana za prethodni radni dan, a moguće ih je pretraživati na godišnjoj odnosno mjesečnoj razini.</w:t>
            </w:r>
          </w:p>
        </w:tc>
      </w:tr>
      <w:tr w:rsidR="00C3788A" w:rsidRPr="0033148D" w14:paraId="04850488" w14:textId="77777777" w:rsidTr="00A20739">
        <w:trPr>
          <w:trHeight w:val="184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8249DD8" w14:textId="439AAC7C" w:rsidR="00C3788A" w:rsidRPr="0033148D" w:rsidRDefault="00C3788A" w:rsidP="000C1E91">
            <w:pPr>
              <w:spacing w:after="0" w:line="240" w:lineRule="auto"/>
              <w:rPr>
                <w:rFonts w:ascii="Calibri" w:eastAsia="Times New Roman" w:hAnsi="Calibri" w:cs="Times New Roman"/>
                <w:lang w:eastAsia="hr-HR"/>
              </w:rPr>
            </w:pPr>
            <w:r w:rsidRPr="0033148D">
              <w:rPr>
                <w:rFonts w:ascii="Calibri" w:eastAsia="Times New Roman" w:hAnsi="Calibri" w:cs="Times New Roman"/>
                <w:b/>
                <w:bCs/>
                <w:lang w:eastAsia="hr-HR"/>
              </w:rPr>
              <w:lastRenderedPageBreak/>
              <w:t>Opis rezultata s pokazateljima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C84CD8" w14:textId="77777777" w:rsidR="00C3788A" w:rsidRPr="0033148D" w:rsidRDefault="00C3788A" w:rsidP="0033148D">
            <w:pPr>
              <w:spacing w:after="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Na mrežnim stranicama Ministarstva financija objavljeni su podaci o trošenju sredstava iz državnog proračuna za 2023. godinu.</w:t>
            </w:r>
          </w:p>
          <w:p w14:paraId="2238F175" w14:textId="77777777" w:rsidR="00C3788A" w:rsidRPr="0033148D" w:rsidRDefault="00306FB6" w:rsidP="0033148D">
            <w:pPr>
              <w:spacing w:after="0" w:line="240" w:lineRule="auto"/>
              <w:jc w:val="both"/>
              <w:rPr>
                <w:rFonts w:ascii="Calibri" w:eastAsia="Times New Roman" w:hAnsi="Calibri" w:cs="Times New Roman"/>
                <w:lang w:eastAsia="hr-HR"/>
              </w:rPr>
            </w:pPr>
            <w:hyperlink r:id="rId22" w:history="1">
              <w:r w:rsidR="00C3788A" w:rsidRPr="0033148D">
                <w:rPr>
                  <w:rStyle w:val="Hyperlink"/>
                  <w:rFonts w:ascii="Calibri" w:eastAsia="Times New Roman" w:hAnsi="Calibri" w:cs="Times New Roman"/>
                  <w:lang w:eastAsia="hr-HR"/>
                </w:rPr>
                <w:t>https://mfin.gov.hr/istaknute-teme/drzavna-riznica/aplikacija-upit-po-dobavljacima/3250</w:t>
              </w:r>
            </w:hyperlink>
          </w:p>
          <w:p w14:paraId="7D93DA0F" w14:textId="77777777" w:rsidR="00C3788A" w:rsidRPr="0033148D" w:rsidRDefault="00C3788A" w:rsidP="0033148D">
            <w:pPr>
              <w:spacing w:after="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Ministar financija donio je 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w:t>
            </w:r>
          </w:p>
          <w:p w14:paraId="2C21795F" w14:textId="77777777" w:rsidR="00C3788A" w:rsidRPr="0033148D" w:rsidRDefault="00C3788A" w:rsidP="0033148D">
            <w:pPr>
              <w:spacing w:after="0" w:line="240" w:lineRule="auto"/>
              <w:jc w:val="both"/>
              <w:rPr>
                <w:rFonts w:ascii="Calibri" w:eastAsia="Times New Roman" w:hAnsi="Calibri" w:cs="Times New Roman"/>
                <w:lang w:eastAsia="hr-HR"/>
              </w:rPr>
            </w:pPr>
            <w:r w:rsidRPr="0033148D">
              <w:rPr>
                <w:rFonts w:ascii="Calibri" w:eastAsia="Times New Roman" w:hAnsi="Calibri" w:cs="Times New Roman"/>
                <w:lang w:eastAsia="hr-HR"/>
              </w:rPr>
              <w:t>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koji je objavljen u Narodnim novinama.</w:t>
            </w:r>
          </w:p>
          <w:p w14:paraId="19F26E7A" w14:textId="35AC3289" w:rsidR="00C3788A" w:rsidRPr="0033148D" w:rsidRDefault="00306FB6" w:rsidP="0033148D">
            <w:pPr>
              <w:spacing w:after="0" w:line="240" w:lineRule="auto"/>
              <w:jc w:val="both"/>
              <w:rPr>
                <w:rFonts w:ascii="Calibri" w:eastAsia="Times New Roman" w:hAnsi="Calibri" w:cs="Times New Roman"/>
                <w:lang w:eastAsia="hr-HR"/>
              </w:rPr>
            </w:pPr>
            <w:hyperlink r:id="rId23" w:history="1">
              <w:r w:rsidR="00C3788A" w:rsidRPr="0033148D">
                <w:rPr>
                  <w:rStyle w:val="Hyperlink"/>
                  <w:rFonts w:ascii="Calibri" w:eastAsia="Times New Roman" w:hAnsi="Calibri" w:cs="Times New Roman"/>
                  <w:lang w:eastAsia="hr-HR"/>
                </w:rPr>
                <w:t>https://narodne-novine.nn.hr/clanci/sluzbeni/2023_06_59_1003.html</w:t>
              </w:r>
            </w:hyperlink>
          </w:p>
        </w:tc>
      </w:tr>
      <w:tr w:rsidR="00C3788A" w:rsidRPr="0033148D" w14:paraId="74CD5F5D" w14:textId="77777777" w:rsidTr="00A20739">
        <w:trPr>
          <w:trHeight w:val="101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D57A759" w14:textId="5C6073DC" w:rsidR="00C3788A" w:rsidRPr="0033148D" w:rsidRDefault="00C3788A" w:rsidP="000C1E91">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Dodatne informacije: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BBFC5E"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 xml:space="preserve">Ministarstvo financija će u propisanom roku postupiti u skladu s odredbama Naputka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te objaviti prve informacije o trošenju sredstava za mjesec siječanj 2024., najkasnije do 20. veljače 2024. na novi način. </w:t>
            </w:r>
          </w:p>
        </w:tc>
      </w:tr>
      <w:tr w:rsidR="00C3788A" w:rsidRPr="0033148D" w14:paraId="7B17F44A"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5D05BFD" w14:textId="15723301" w:rsidR="00C3788A" w:rsidRPr="0033148D" w:rsidRDefault="00C3788A" w:rsidP="000C1E91">
            <w:pPr>
              <w:spacing w:line="240" w:lineRule="auto"/>
              <w:rPr>
                <w:rFonts w:ascii="Calibri" w:eastAsia="Times New Roman" w:hAnsi="Calibri" w:cs="Times New Roman"/>
                <w:lang w:eastAsia="hr-HR"/>
              </w:rPr>
            </w:pPr>
            <w:r w:rsidRPr="0033148D">
              <w:rPr>
                <w:b/>
                <w:bCs/>
                <w:lang w:eastAsia="hr-HR"/>
              </w:rPr>
              <w:t>Sljedeći koraci</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B5A216" w14:textId="1265476B"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Nastavak ove aktivnosti u istom planira se u sljedećem provedbenom razdoblju, odnosno Akcijskom planu.</w:t>
            </w:r>
          </w:p>
        </w:tc>
      </w:tr>
    </w:tbl>
    <w:p w14:paraId="6103B3F7" w14:textId="77777777" w:rsidR="00C3788A" w:rsidRPr="0033148D" w:rsidRDefault="00C3788A" w:rsidP="0033148D">
      <w:pPr>
        <w:spacing w:line="240" w:lineRule="auto"/>
      </w:pPr>
    </w:p>
    <w:tbl>
      <w:tblPr>
        <w:tblW w:w="15932" w:type="dxa"/>
        <w:jc w:val="center"/>
        <w:tblLook w:val="04A0" w:firstRow="1" w:lastRow="0" w:firstColumn="1" w:lastColumn="0" w:noHBand="0" w:noVBand="1"/>
      </w:tblPr>
      <w:tblGrid>
        <w:gridCol w:w="1269"/>
        <w:gridCol w:w="2837"/>
        <w:gridCol w:w="2835"/>
        <w:gridCol w:w="2977"/>
        <w:gridCol w:w="2900"/>
        <w:gridCol w:w="3114"/>
      </w:tblGrid>
      <w:tr w:rsidR="00C3788A" w:rsidRPr="0033148D" w14:paraId="4C357C42" w14:textId="77777777" w:rsidTr="000C1E91">
        <w:trPr>
          <w:trHeight w:val="543"/>
          <w:jc w:val="center"/>
        </w:trPr>
        <w:tc>
          <w:tcPr>
            <w:tcW w:w="1593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B5F99A" w14:textId="0B42AAA4" w:rsidR="00C3788A"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C3788A" w:rsidRPr="0033148D">
              <w:rPr>
                <w:rFonts w:ascii="Calibri" w:eastAsia="Times New Roman" w:hAnsi="Calibri" w:cs="Times New Roman"/>
                <w:b/>
                <w:bCs/>
                <w:color w:val="000000"/>
                <w:lang w:eastAsia="hr-HR"/>
              </w:rPr>
              <w:t>3.2. Pravovremeno objavljivati prijedlog državnog proračuna s obrazloženjima u strojno čitljivom formatu (Excel)</w:t>
            </w:r>
          </w:p>
        </w:tc>
      </w:tr>
      <w:tr w:rsidR="00C3788A" w:rsidRPr="0033148D" w14:paraId="74C2E146" w14:textId="77777777" w:rsidTr="000C1E91">
        <w:trPr>
          <w:trHeight w:val="422"/>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16AB677" w14:textId="0160E040" w:rsidR="00C3788A" w:rsidRPr="0033148D" w:rsidRDefault="002256D3"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E6DD41" w14:textId="29927CBE" w:rsidR="00C3788A" w:rsidRPr="0033148D" w:rsidRDefault="002256D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financija</w:t>
            </w:r>
          </w:p>
        </w:tc>
      </w:tr>
      <w:tr w:rsidR="004B7C5E" w:rsidRPr="0033148D" w14:paraId="2B0ACA18" w14:textId="77777777" w:rsidTr="000C1E91">
        <w:trPr>
          <w:trHeight w:val="556"/>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EEA965" w14:textId="349098A0" w:rsidR="004B7C5E" w:rsidRPr="0033148D" w:rsidRDefault="004B7C5E"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18E52D62" w14:textId="6A830D39" w:rsidR="004B7C5E" w:rsidRPr="0033148D" w:rsidRDefault="004B7C5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Cs/>
                <w:color w:val="000000"/>
                <w:lang w:eastAsia="hr-HR"/>
              </w:rPr>
              <w:t>Državna riznica, Vlada RH, Hrvatski sabor</w:t>
            </w:r>
          </w:p>
        </w:tc>
      </w:tr>
      <w:tr w:rsidR="00C3788A" w:rsidRPr="0033148D" w14:paraId="071D03A1" w14:textId="77777777" w:rsidTr="00E540F3">
        <w:trPr>
          <w:trHeight w:val="228"/>
          <w:jc w:val="center"/>
        </w:trPr>
        <w:tc>
          <w:tcPr>
            <w:tcW w:w="1269" w:type="dxa"/>
            <w:vMerge w:val="restart"/>
            <w:tcBorders>
              <w:top w:val="nil"/>
              <w:left w:val="single" w:sz="4" w:space="0" w:color="auto"/>
              <w:bottom w:val="single" w:sz="4" w:space="0" w:color="auto"/>
              <w:right w:val="single" w:sz="4" w:space="0" w:color="auto"/>
            </w:tcBorders>
            <w:shd w:val="clear" w:color="000000" w:fill="F2F2F2"/>
            <w:vAlign w:val="center"/>
            <w:hideMark/>
          </w:tcPr>
          <w:p w14:paraId="494E9CD8"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837" w:type="dxa"/>
            <w:tcBorders>
              <w:top w:val="nil"/>
              <w:left w:val="nil"/>
              <w:bottom w:val="single" w:sz="4" w:space="0" w:color="auto"/>
              <w:right w:val="single" w:sz="4" w:space="0" w:color="auto"/>
            </w:tcBorders>
            <w:shd w:val="clear" w:color="000000" w:fill="F2F2F2"/>
            <w:vAlign w:val="center"/>
            <w:hideMark/>
          </w:tcPr>
          <w:p w14:paraId="67E3EB59"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2DC8B037" w14:textId="1C680674" w:rsidR="00C3788A"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3D40F25A" w14:textId="77777777" w:rsidTr="00E540F3">
        <w:trPr>
          <w:trHeight w:val="70"/>
          <w:jc w:val="center"/>
        </w:trPr>
        <w:tc>
          <w:tcPr>
            <w:tcW w:w="1269" w:type="dxa"/>
            <w:vMerge/>
            <w:tcBorders>
              <w:top w:val="nil"/>
              <w:left w:val="single" w:sz="4" w:space="0" w:color="auto"/>
              <w:bottom w:val="single" w:sz="4" w:space="0" w:color="auto"/>
              <w:right w:val="single" w:sz="4" w:space="0" w:color="auto"/>
            </w:tcBorders>
            <w:vAlign w:val="center"/>
            <w:hideMark/>
          </w:tcPr>
          <w:p w14:paraId="7F20DC33" w14:textId="77777777"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2837" w:type="dxa"/>
            <w:tcBorders>
              <w:top w:val="nil"/>
              <w:left w:val="nil"/>
              <w:bottom w:val="single" w:sz="4" w:space="0" w:color="auto"/>
              <w:right w:val="single" w:sz="4" w:space="0" w:color="auto"/>
            </w:tcBorders>
            <w:shd w:val="clear" w:color="000000" w:fill="F2F2F2"/>
            <w:vAlign w:val="center"/>
            <w:hideMark/>
          </w:tcPr>
          <w:p w14:paraId="2AAC90E2"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393EE76C" w14:textId="327A6359" w:rsidR="00C3788A"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00019D8B" w14:textId="77777777" w:rsidTr="00E540F3">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F9E318C" w14:textId="77777777"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p w14:paraId="72DFB34E" w14:textId="69833406"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0AEEA376"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C3788A" w:rsidRPr="0033148D" w14:paraId="5297CC47" w14:textId="77777777" w:rsidTr="00E540F3">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9058F66" w14:textId="77777777"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p w14:paraId="455B14D9" w14:textId="696FAD9B"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523B9389"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kontinuirano</w:t>
            </w:r>
          </w:p>
        </w:tc>
      </w:tr>
      <w:tr w:rsidR="004B7C5E" w:rsidRPr="0033148D" w14:paraId="4E6B919C" w14:textId="77777777" w:rsidTr="00E540F3">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3AB5B9C" w14:textId="0C924CB0" w:rsidR="004B7C5E" w:rsidRPr="0033148D" w:rsidRDefault="004B7C5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4FE63AD3" w14:textId="1E5C576E" w:rsidR="004B7C5E" w:rsidRPr="0033148D" w:rsidRDefault="004B7C5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Prijedlog državnog proračuna u strojno čitljivom formatu (Excel) objavljen kao dokument za raspravu na stranicama Vlade i Hrvatskog sabora (Dnevni red)</w:t>
            </w:r>
          </w:p>
        </w:tc>
      </w:tr>
      <w:tr w:rsidR="00A20739" w:rsidRPr="0033148D" w14:paraId="04486745" w14:textId="77777777" w:rsidTr="00E540F3">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9B95A80" w14:textId="739EC0FC" w:rsidR="004B7C5E" w:rsidRPr="0033148D" w:rsidRDefault="004B7C5E" w:rsidP="0033148D">
            <w:pPr>
              <w:spacing w:after="0" w:line="240" w:lineRule="auto"/>
              <w:rPr>
                <w:rFonts w:ascii="Calibri" w:eastAsia="Times New Roman" w:hAnsi="Calibri" w:cs="Times New Roman"/>
                <w:bCs/>
                <w:i/>
                <w:lang w:eastAsia="hr-HR"/>
              </w:rPr>
            </w:pPr>
            <w:r w:rsidRPr="0033148D">
              <w:rPr>
                <w:rFonts w:ascii="Calibri" w:eastAsia="Times New Roman" w:hAnsi="Calibri" w:cs="Times New Roman"/>
                <w:b/>
                <w:bCs/>
                <w:lang w:eastAsia="hr-HR"/>
              </w:rPr>
              <w:t xml:space="preserve">Stupanj provedenosti: </w:t>
            </w:r>
          </w:p>
        </w:tc>
        <w:tc>
          <w:tcPr>
            <w:tcW w:w="283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6D1A0DE" w14:textId="77777777" w:rsidR="004B7C5E" w:rsidRPr="0033148D" w:rsidRDefault="004B7C5E"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Provedba nije započela</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5315193F" w14:textId="77777777" w:rsidR="004B7C5E" w:rsidRPr="0033148D" w:rsidRDefault="004B7C5E"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manjoj mjeri</w:t>
            </w:r>
          </w:p>
        </w:tc>
        <w:tc>
          <w:tcPr>
            <w:tcW w:w="2900" w:type="dxa"/>
            <w:tcBorders>
              <w:top w:val="single" w:sz="4" w:space="0" w:color="auto"/>
              <w:left w:val="nil"/>
              <w:bottom w:val="single" w:sz="4" w:space="0" w:color="auto"/>
              <w:right w:val="single" w:sz="4" w:space="0" w:color="auto"/>
            </w:tcBorders>
            <w:shd w:val="clear" w:color="000000" w:fill="F2F2F2"/>
            <w:vAlign w:val="center"/>
            <w:hideMark/>
          </w:tcPr>
          <w:p w14:paraId="6B76735B" w14:textId="77777777" w:rsidR="004B7C5E" w:rsidRPr="0033148D" w:rsidRDefault="004B7C5E"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znatnoj mjeri</w:t>
            </w:r>
          </w:p>
        </w:tc>
        <w:tc>
          <w:tcPr>
            <w:tcW w:w="3114" w:type="dxa"/>
            <w:tcBorders>
              <w:top w:val="single" w:sz="4" w:space="0" w:color="auto"/>
              <w:left w:val="nil"/>
              <w:bottom w:val="single" w:sz="4" w:space="0" w:color="auto"/>
              <w:right w:val="single" w:sz="4" w:space="0" w:color="auto"/>
            </w:tcBorders>
            <w:shd w:val="clear" w:color="000000" w:fill="F2F2F2"/>
            <w:vAlign w:val="center"/>
            <w:hideMark/>
          </w:tcPr>
          <w:p w14:paraId="3A34525C" w14:textId="77777777" w:rsidR="004B7C5E" w:rsidRPr="0033148D" w:rsidRDefault="004B7C5E"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potpunosti</w:t>
            </w:r>
          </w:p>
        </w:tc>
      </w:tr>
      <w:tr w:rsidR="0083271E" w:rsidRPr="0033148D" w14:paraId="20FF176F" w14:textId="77777777" w:rsidTr="00E540F3">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68AE7F5B" w14:textId="77777777" w:rsidR="004B7C5E" w:rsidRPr="0033148D" w:rsidRDefault="004B7C5E" w:rsidP="0033148D">
            <w:pPr>
              <w:spacing w:after="0" w:line="240" w:lineRule="auto"/>
              <w:rPr>
                <w:rFonts w:ascii="Calibri" w:eastAsia="Times New Roman" w:hAnsi="Calibri" w:cs="Times New Roman"/>
                <w:b/>
                <w:bCs/>
                <w:color w:val="FF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0958B63B" w14:textId="77777777" w:rsidR="004B7C5E" w:rsidRPr="0033148D" w:rsidRDefault="004B7C5E" w:rsidP="0033148D">
            <w:pPr>
              <w:spacing w:after="0" w:line="240" w:lineRule="auto"/>
              <w:jc w:val="center"/>
              <w:rPr>
                <w:rFonts w:ascii="Calibri" w:eastAsia="Times New Roman" w:hAnsi="Calibri" w:cs="Times New Roman"/>
                <w:color w:val="FF0000"/>
                <w:lang w:eastAsia="hr-HR"/>
              </w:rPr>
            </w:pPr>
          </w:p>
        </w:tc>
        <w:tc>
          <w:tcPr>
            <w:tcW w:w="2977" w:type="dxa"/>
            <w:tcBorders>
              <w:top w:val="nil"/>
              <w:left w:val="nil"/>
              <w:bottom w:val="single" w:sz="4" w:space="0" w:color="auto"/>
              <w:right w:val="single" w:sz="4" w:space="0" w:color="auto"/>
            </w:tcBorders>
            <w:shd w:val="clear" w:color="auto" w:fill="auto"/>
            <w:noWrap/>
            <w:vAlign w:val="center"/>
            <w:hideMark/>
          </w:tcPr>
          <w:p w14:paraId="2B53A5B0" w14:textId="77777777" w:rsidR="004B7C5E" w:rsidRPr="0033148D" w:rsidRDefault="004B7C5E" w:rsidP="0033148D">
            <w:pPr>
              <w:spacing w:after="0" w:line="240" w:lineRule="auto"/>
              <w:jc w:val="center"/>
              <w:rPr>
                <w:rFonts w:ascii="Calibri" w:eastAsia="Times New Roman" w:hAnsi="Calibri" w:cs="Times New Roman"/>
                <w:color w:val="FF0000"/>
                <w:lang w:eastAsia="hr-HR"/>
              </w:rPr>
            </w:pPr>
          </w:p>
        </w:tc>
        <w:tc>
          <w:tcPr>
            <w:tcW w:w="2900" w:type="dxa"/>
            <w:tcBorders>
              <w:top w:val="nil"/>
              <w:left w:val="nil"/>
              <w:bottom w:val="single" w:sz="4" w:space="0" w:color="auto"/>
              <w:right w:val="single" w:sz="4" w:space="0" w:color="auto"/>
            </w:tcBorders>
            <w:shd w:val="clear" w:color="auto" w:fill="FFE599" w:themeFill="accent4" w:themeFillTint="66"/>
            <w:noWrap/>
            <w:vAlign w:val="center"/>
            <w:hideMark/>
          </w:tcPr>
          <w:p w14:paraId="430829E1" w14:textId="56944B61" w:rsidR="004B7C5E" w:rsidRPr="0033148D" w:rsidRDefault="004B7C5E" w:rsidP="0033148D">
            <w:pPr>
              <w:spacing w:after="0" w:line="240" w:lineRule="auto"/>
              <w:jc w:val="center"/>
              <w:rPr>
                <w:rFonts w:ascii="Calibri" w:eastAsia="Times New Roman" w:hAnsi="Calibri" w:cs="Times New Roman"/>
                <w:color w:val="FF0000"/>
                <w:lang w:eastAsia="hr-HR"/>
              </w:rPr>
            </w:pPr>
            <w:r w:rsidRPr="0033148D">
              <w:rPr>
                <w:rFonts w:ascii="Calibri" w:eastAsia="Times New Roman" w:hAnsi="Calibri" w:cs="Times New Roman"/>
                <w:lang w:eastAsia="hr-HR"/>
              </w:rPr>
              <w:t>x</w:t>
            </w:r>
          </w:p>
        </w:tc>
        <w:tc>
          <w:tcPr>
            <w:tcW w:w="3114" w:type="dxa"/>
            <w:tcBorders>
              <w:top w:val="nil"/>
              <w:left w:val="nil"/>
              <w:bottom w:val="single" w:sz="4" w:space="0" w:color="auto"/>
              <w:right w:val="single" w:sz="4" w:space="0" w:color="auto"/>
            </w:tcBorders>
            <w:shd w:val="clear" w:color="auto" w:fill="FFFFFF" w:themeFill="background1"/>
            <w:noWrap/>
            <w:vAlign w:val="center"/>
            <w:hideMark/>
          </w:tcPr>
          <w:p w14:paraId="2B3B6785" w14:textId="19D5E215" w:rsidR="004B7C5E" w:rsidRPr="0033148D" w:rsidRDefault="004B7C5E" w:rsidP="0033148D">
            <w:pPr>
              <w:spacing w:after="0" w:line="240" w:lineRule="auto"/>
              <w:jc w:val="center"/>
              <w:rPr>
                <w:rFonts w:ascii="Calibri" w:eastAsia="Times New Roman" w:hAnsi="Calibri" w:cs="Times New Roman"/>
                <w:color w:val="FF0000"/>
                <w:lang w:eastAsia="hr-HR"/>
              </w:rPr>
            </w:pPr>
          </w:p>
        </w:tc>
      </w:tr>
      <w:tr w:rsidR="004B7C5E" w:rsidRPr="0033148D" w14:paraId="210268C9" w14:textId="77777777" w:rsidTr="00E540F3">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3007DB" w14:textId="6B05C8E1" w:rsidR="004B7C5E" w:rsidRPr="0033148D" w:rsidRDefault="004B7C5E" w:rsidP="000C1E91">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07AA0805" w14:textId="57EF9E42" w:rsidR="004B7C5E"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Nije bilo izmjena.</w:t>
            </w:r>
          </w:p>
        </w:tc>
      </w:tr>
      <w:tr w:rsidR="004B7C5E" w:rsidRPr="0033148D" w14:paraId="4A1CA1E1" w14:textId="77777777" w:rsidTr="00E540F3">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A4FE6B6" w14:textId="51B05A36" w:rsidR="004B7C5E" w:rsidRPr="0033148D" w:rsidRDefault="004B7C5E" w:rsidP="000C1E91">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Opis rezultata s pokazateljima provedbe:</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2DF1EE80" w14:textId="77777777" w:rsidR="004B7C5E" w:rsidRPr="0033148D" w:rsidRDefault="004B7C5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Ministarstvo financija, Državna riznica poslalo je Vladi Republike Hrvatske Prijedlog državnog proračuna u Excel formatu, te isti objavilo svojim web stranicama </w:t>
            </w:r>
            <w:hyperlink r:id="rId24" w:history="1">
              <w:r w:rsidRPr="0033148D">
                <w:rPr>
                  <w:rStyle w:val="Hyperlink"/>
                  <w:rFonts w:ascii="Calibri" w:eastAsia="Times New Roman" w:hAnsi="Calibri" w:cs="Times New Roman"/>
                  <w:lang w:eastAsia="hr-HR"/>
                </w:rPr>
                <w:t>https://mfin.gov.hr/UserDocsImages//dokumenti/Informacije_za_gradane//NPZ%20DP%20RH%20za%202024-25-26.zip</w:t>
              </w:r>
            </w:hyperlink>
            <w:r w:rsidRPr="0033148D">
              <w:rPr>
                <w:rFonts w:ascii="Calibri" w:eastAsia="Times New Roman" w:hAnsi="Calibri" w:cs="Times New Roman"/>
                <w:color w:val="000000"/>
                <w:lang w:eastAsia="hr-HR"/>
              </w:rPr>
              <w:t xml:space="preserve"> , Vlada Republike Hrvatske isti je objavila u PDF formatu </w:t>
            </w:r>
          </w:p>
          <w:p w14:paraId="35576204" w14:textId="77777777" w:rsidR="004B7C5E" w:rsidRPr="0033148D" w:rsidRDefault="00306FB6" w:rsidP="0033148D">
            <w:pPr>
              <w:spacing w:after="0" w:line="240" w:lineRule="auto"/>
              <w:rPr>
                <w:rFonts w:ascii="Calibri" w:eastAsia="Times New Roman" w:hAnsi="Calibri" w:cs="Times New Roman"/>
                <w:color w:val="000000"/>
                <w:lang w:eastAsia="hr-HR"/>
              </w:rPr>
            </w:pPr>
            <w:hyperlink r:id="rId25" w:history="1">
              <w:r w:rsidR="004B7C5E" w:rsidRPr="0033148D">
                <w:rPr>
                  <w:rStyle w:val="Hyperlink"/>
                  <w:rFonts w:ascii="Calibri" w:eastAsia="Times New Roman" w:hAnsi="Calibri" w:cs="Times New Roman"/>
                  <w:lang w:eastAsia="hr-HR"/>
                </w:rPr>
                <w:t>https://vlada.gov.hr/sjednice/262-sjednica-vlade-republike-hrvatske-39338/39338</w:t>
              </w:r>
            </w:hyperlink>
            <w:r w:rsidR="004B7C5E" w:rsidRPr="0033148D">
              <w:rPr>
                <w:rFonts w:ascii="Calibri" w:eastAsia="Times New Roman" w:hAnsi="Calibri" w:cs="Times New Roman"/>
                <w:color w:val="000000"/>
                <w:lang w:eastAsia="hr-HR"/>
              </w:rPr>
              <w:t>, ali je Hrvatskom Saboru po usvajanu istog uputila materijale u PDF i Excel formatu koji je iste i objavio na svojim stranicama</w:t>
            </w:r>
          </w:p>
          <w:p w14:paraId="74581229" w14:textId="77777777" w:rsidR="004B7C5E" w:rsidRPr="0033148D" w:rsidRDefault="00306FB6" w:rsidP="0033148D">
            <w:pPr>
              <w:spacing w:after="0" w:line="240" w:lineRule="auto"/>
              <w:rPr>
                <w:rFonts w:ascii="Calibri" w:eastAsia="Times New Roman" w:hAnsi="Calibri" w:cs="Times New Roman"/>
                <w:color w:val="000000"/>
                <w:lang w:eastAsia="hr-HR"/>
              </w:rPr>
            </w:pPr>
            <w:hyperlink r:id="rId26" w:history="1">
              <w:r w:rsidR="004B7C5E" w:rsidRPr="0033148D">
                <w:rPr>
                  <w:rStyle w:val="Hyperlink"/>
                  <w:rFonts w:ascii="Calibri" w:eastAsia="Times New Roman" w:hAnsi="Calibri" w:cs="Times New Roman"/>
                  <w:lang w:eastAsia="hr-HR"/>
                </w:rPr>
                <w:t>https://www.sabor.hr/prijedlog-drzavnog-proracuna-republike-hrvatske-za-2024-godinu-i-projekcija-za-2025-i-2026-godinu?t=142293&amp;tid=212269</w:t>
              </w:r>
            </w:hyperlink>
            <w:r w:rsidR="004B7C5E" w:rsidRPr="0033148D">
              <w:rPr>
                <w:rFonts w:ascii="Calibri" w:eastAsia="Times New Roman" w:hAnsi="Calibri" w:cs="Times New Roman"/>
                <w:color w:val="000000"/>
                <w:lang w:eastAsia="hr-HR"/>
              </w:rPr>
              <w:t xml:space="preserve"> (PDF)</w:t>
            </w:r>
          </w:p>
          <w:p w14:paraId="26529B4D" w14:textId="71BD9F82" w:rsidR="004B7C5E" w:rsidRPr="0033148D" w:rsidRDefault="00306FB6" w:rsidP="0033148D">
            <w:pPr>
              <w:spacing w:after="0" w:line="240" w:lineRule="auto"/>
              <w:rPr>
                <w:rFonts w:ascii="Calibri" w:eastAsia="Times New Roman" w:hAnsi="Calibri" w:cs="Times New Roman"/>
                <w:color w:val="000000"/>
                <w:lang w:eastAsia="hr-HR"/>
              </w:rPr>
            </w:pPr>
            <w:hyperlink r:id="rId27" w:history="1">
              <w:r w:rsidR="004B7C5E" w:rsidRPr="0033148D">
                <w:rPr>
                  <w:rStyle w:val="Hyperlink"/>
                  <w:rFonts w:ascii="Calibri" w:eastAsia="Times New Roman" w:hAnsi="Calibri" w:cs="Times New Roman"/>
                  <w:lang w:eastAsia="hr-HR"/>
                </w:rPr>
                <w:t>https://www.sabor.hr/sites/default/files/uploads/sabor/2023-11-09/202211/1.%20DPRH%20za%202024.zip</w:t>
              </w:r>
            </w:hyperlink>
            <w:r w:rsidR="004B7C5E" w:rsidRPr="0033148D">
              <w:rPr>
                <w:rFonts w:ascii="Calibri" w:eastAsia="Times New Roman" w:hAnsi="Calibri" w:cs="Times New Roman"/>
                <w:color w:val="000000"/>
                <w:lang w:eastAsia="hr-HR"/>
              </w:rPr>
              <w:t xml:space="preserve"> (Excel)</w:t>
            </w:r>
          </w:p>
        </w:tc>
      </w:tr>
      <w:tr w:rsidR="004B7C5E" w:rsidRPr="0033148D" w14:paraId="02146EA6"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3AABE43" w14:textId="0C487012" w:rsidR="004B7C5E" w:rsidRPr="0033148D" w:rsidRDefault="004B7C5E" w:rsidP="000C1E91">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4851B834" w14:textId="7867B1BB" w:rsidR="004B7C5E" w:rsidRPr="0033148D" w:rsidRDefault="004B7C5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7C5E" w:rsidRPr="0033148D" w14:paraId="0D760E94"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D23809C" w14:textId="3310A622" w:rsidR="004B7C5E" w:rsidRPr="0033148D" w:rsidRDefault="004B7C5E" w:rsidP="00960414">
            <w:pPr>
              <w:spacing w:after="0" w:line="240" w:lineRule="auto"/>
              <w:rPr>
                <w:rFonts w:ascii="Calibri" w:eastAsia="Times New Roman" w:hAnsi="Calibri" w:cs="Times New Roman"/>
                <w:b/>
                <w:bCs/>
                <w:color w:val="000000"/>
                <w:lang w:eastAsia="hr-HR"/>
              </w:rPr>
            </w:pPr>
            <w:r w:rsidRPr="0033148D">
              <w:rPr>
                <w:b/>
                <w:bCs/>
                <w:lang w:eastAsia="hr-HR"/>
              </w:rPr>
              <w:t>Sljedeći korac</w:t>
            </w:r>
            <w:r w:rsidR="000C1E91">
              <w:rPr>
                <w:i/>
                <w:iCs/>
                <w:lang w:eastAsia="hr-HR"/>
              </w:rPr>
              <w:t>i</w:t>
            </w:r>
            <w:r w:rsidRPr="0033148D">
              <w:rPr>
                <w:b/>
                <w:bCs/>
                <w:i/>
                <w:iCs/>
                <w:lang w:eastAsia="hr-HR"/>
              </w:rPr>
              <w:t>:</w:t>
            </w:r>
          </w:p>
        </w:tc>
        <w:tc>
          <w:tcPr>
            <w:tcW w:w="11826" w:type="dxa"/>
            <w:gridSpan w:val="4"/>
            <w:tcBorders>
              <w:top w:val="single" w:sz="4" w:space="0" w:color="auto"/>
              <w:left w:val="nil"/>
              <w:bottom w:val="single" w:sz="4" w:space="0" w:color="auto"/>
              <w:right w:val="single" w:sz="4" w:space="0" w:color="000000"/>
            </w:tcBorders>
            <w:shd w:val="clear" w:color="auto" w:fill="auto"/>
            <w:noWrap/>
            <w:vAlign w:val="center"/>
          </w:tcPr>
          <w:p w14:paraId="1609B51E" w14:textId="626EFB44" w:rsidR="004B7C5E" w:rsidRPr="0033148D" w:rsidRDefault="004B7C5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Nastavak ove aktivnosti u istom planira se u sljedećem provedbenom razdoblju, odnosno Akcijskom planu)</w:t>
            </w:r>
          </w:p>
        </w:tc>
      </w:tr>
    </w:tbl>
    <w:p w14:paraId="673CCADA" w14:textId="77777777" w:rsidR="00C3788A" w:rsidRPr="0033148D" w:rsidRDefault="00C3788A" w:rsidP="0033148D">
      <w:pPr>
        <w:spacing w:line="240" w:lineRule="auto"/>
      </w:pPr>
    </w:p>
    <w:tbl>
      <w:tblPr>
        <w:tblW w:w="15871" w:type="dxa"/>
        <w:jc w:val="center"/>
        <w:tblLook w:val="04A0" w:firstRow="1" w:lastRow="0" w:firstColumn="1" w:lastColumn="0" w:noHBand="0" w:noVBand="1"/>
      </w:tblPr>
      <w:tblGrid>
        <w:gridCol w:w="1980"/>
        <w:gridCol w:w="2126"/>
        <w:gridCol w:w="2693"/>
        <w:gridCol w:w="2694"/>
        <w:gridCol w:w="2835"/>
        <w:gridCol w:w="3543"/>
      </w:tblGrid>
      <w:tr w:rsidR="00CA773F" w:rsidRPr="0033148D" w14:paraId="782E259D" w14:textId="77777777" w:rsidTr="00960414">
        <w:trPr>
          <w:trHeight w:val="462"/>
          <w:jc w:val="center"/>
        </w:trPr>
        <w:tc>
          <w:tcPr>
            <w:tcW w:w="15871"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0A24AF" w14:textId="695EBC36" w:rsidR="00CA773F"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CA773F" w:rsidRPr="0033148D">
              <w:rPr>
                <w:rFonts w:ascii="Calibri" w:eastAsia="Times New Roman" w:hAnsi="Calibri" w:cs="Times New Roman"/>
                <w:b/>
                <w:bCs/>
                <w:color w:val="000000"/>
                <w:lang w:eastAsia="hr-HR"/>
              </w:rPr>
              <w:t xml:space="preserve">3.3. </w:t>
            </w:r>
            <w:r w:rsidR="00CA773F" w:rsidRPr="0033148D">
              <w:rPr>
                <w:b/>
              </w:rPr>
              <w:t>Promovirati transparentno objavljivanje proračunskih podataka / Popularizacija strojno čitljivih proračunskih podataka</w:t>
            </w:r>
          </w:p>
        </w:tc>
      </w:tr>
      <w:tr w:rsidR="00CA773F" w:rsidRPr="0033148D" w14:paraId="7616A4C9" w14:textId="77777777" w:rsidTr="00960414">
        <w:trPr>
          <w:trHeight w:val="462"/>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31B0B8B" w14:textId="2021ED1D" w:rsidR="00CA773F" w:rsidRPr="0033148D" w:rsidRDefault="00CA773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96C52A" w14:textId="477938CD" w:rsidR="00CA773F" w:rsidRPr="0033148D" w:rsidRDefault="002256D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financija</w:t>
            </w:r>
          </w:p>
        </w:tc>
      </w:tr>
      <w:tr w:rsidR="00CA773F" w:rsidRPr="0033148D" w14:paraId="2B20D6F7" w14:textId="77777777" w:rsidTr="00960414">
        <w:trPr>
          <w:trHeight w:val="462"/>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BA3D31F" w14:textId="509238CB" w:rsidR="00CA773F" w:rsidRPr="0033148D" w:rsidRDefault="00CA773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46E71BC3" w14:textId="77777777" w:rsidR="00CA773F" w:rsidRPr="0033148D" w:rsidRDefault="00CA773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Sve članice Hrvatske zajednice županija</w:t>
            </w:r>
          </w:p>
        </w:tc>
      </w:tr>
      <w:tr w:rsidR="00CA773F" w:rsidRPr="0033148D" w14:paraId="39E141FD" w14:textId="77777777" w:rsidTr="000E38BD">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5E39461"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26C00E21"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30EAC701" w14:textId="77777777" w:rsidR="00CA773F" w:rsidRPr="0033148D" w:rsidRDefault="00CA773F" w:rsidP="0033148D">
            <w:pPr>
              <w:spacing w:after="0" w:line="240" w:lineRule="auto"/>
              <w:rPr>
                <w:rFonts w:ascii="Calibri" w:eastAsia="Times New Roman" w:hAnsi="Calibri" w:cs="Times New Roman"/>
                <w:color w:val="000000"/>
                <w:lang w:eastAsia="hr-HR"/>
              </w:rPr>
            </w:pPr>
          </w:p>
        </w:tc>
      </w:tr>
      <w:tr w:rsidR="00CA773F" w:rsidRPr="0033148D" w14:paraId="37BD25C4" w14:textId="77777777" w:rsidTr="000E38BD">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1AD4B79" w14:textId="77777777" w:rsidR="00CA773F" w:rsidRPr="0033148D" w:rsidRDefault="00CA773F"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40351C27"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5085CAAD" w14:textId="46F3EC08" w:rsidR="00CA773F" w:rsidRPr="0033148D" w:rsidRDefault="008327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A773F" w:rsidRPr="0033148D" w14:paraId="28A646BD" w14:textId="77777777" w:rsidTr="00960414">
        <w:trPr>
          <w:trHeight w:val="45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EF94D53" w14:textId="62C1065D" w:rsidR="00CA773F" w:rsidRPr="0033148D" w:rsidRDefault="00CA773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7D184F47" w14:textId="77777777" w:rsidR="00CA773F" w:rsidRPr="0033148D" w:rsidRDefault="00CA773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w:t>
            </w:r>
          </w:p>
        </w:tc>
      </w:tr>
      <w:tr w:rsidR="00CA773F" w:rsidRPr="0033148D" w14:paraId="6CC3FF4A" w14:textId="77777777" w:rsidTr="00960414">
        <w:trPr>
          <w:trHeight w:val="40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8401B8E" w14:textId="7446D48F" w:rsidR="00CA773F" w:rsidRPr="0033148D" w:rsidRDefault="00CA773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4E6DFE5C" w14:textId="77777777" w:rsidR="00CA773F" w:rsidRPr="0033148D" w:rsidRDefault="00CA773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kontinuirano</w:t>
            </w:r>
          </w:p>
        </w:tc>
      </w:tr>
      <w:tr w:rsidR="00CA773F" w:rsidRPr="0033148D" w14:paraId="661EED32" w14:textId="77777777" w:rsidTr="000E38BD">
        <w:trPr>
          <w:trHeight w:val="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41A3D86" w14:textId="5C556C15" w:rsidR="00CA773F" w:rsidRPr="0033148D" w:rsidRDefault="00CA773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tcPr>
          <w:p w14:paraId="6DB709E1" w14:textId="77777777" w:rsidR="00430D88" w:rsidRPr="0033148D" w:rsidRDefault="00CA773F" w:rsidP="0033148D">
            <w:pPr>
              <w:pStyle w:val="ListParagraph"/>
              <w:numPr>
                <w:ilvl w:val="0"/>
                <w:numId w:val="34"/>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Pravovremeno objavljeni prijedlozi proračuna, rebalansa proračuna i izvješća u strojno čitljivom formatu;</w:t>
            </w:r>
          </w:p>
          <w:p w14:paraId="2202F287" w14:textId="77777777" w:rsidR="00CA773F" w:rsidRPr="0033148D" w:rsidRDefault="00CA773F" w:rsidP="0033148D">
            <w:pPr>
              <w:pStyle w:val="ListParagraph"/>
              <w:numPr>
                <w:ilvl w:val="0"/>
                <w:numId w:val="34"/>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Objavljeni aktualni proračunski podaci za 20 županija i Grad Zagreb u strojno čitljivom, standardiziranom obliku; rad na popularizaciji otvorenih podataka i transparentnosti</w:t>
            </w:r>
          </w:p>
        </w:tc>
      </w:tr>
      <w:tr w:rsidR="00CA773F" w:rsidRPr="0033148D" w14:paraId="3BAF6A18" w14:textId="77777777" w:rsidTr="000E38BD">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20BE81F" w14:textId="2367F655" w:rsidR="00CA773F" w:rsidRPr="0033148D" w:rsidRDefault="00CA773F"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D4D62A"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5928C81F"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C923651"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543" w:type="dxa"/>
            <w:tcBorders>
              <w:top w:val="single" w:sz="4" w:space="0" w:color="auto"/>
              <w:left w:val="nil"/>
              <w:bottom w:val="single" w:sz="4" w:space="0" w:color="auto"/>
              <w:right w:val="single" w:sz="4" w:space="0" w:color="auto"/>
            </w:tcBorders>
            <w:shd w:val="clear" w:color="000000" w:fill="F2F2F2"/>
            <w:vAlign w:val="center"/>
            <w:hideMark/>
          </w:tcPr>
          <w:p w14:paraId="603A67DD" w14:textId="77777777" w:rsidR="00CA773F" w:rsidRPr="0033148D" w:rsidRDefault="00CA773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CA773F" w:rsidRPr="0033148D" w14:paraId="36A784BC" w14:textId="77777777" w:rsidTr="00E60FCA">
        <w:trPr>
          <w:trHeight w:val="642"/>
          <w:jc w:val="center"/>
        </w:trPr>
        <w:tc>
          <w:tcPr>
            <w:tcW w:w="4106" w:type="dxa"/>
            <w:gridSpan w:val="2"/>
            <w:vMerge/>
            <w:tcBorders>
              <w:top w:val="single" w:sz="4" w:space="0" w:color="auto"/>
              <w:left w:val="single" w:sz="4" w:space="0" w:color="auto"/>
              <w:bottom w:val="single" w:sz="4" w:space="0" w:color="auto"/>
              <w:right w:val="single" w:sz="4" w:space="0" w:color="000000"/>
            </w:tcBorders>
            <w:vAlign w:val="center"/>
            <w:hideMark/>
          </w:tcPr>
          <w:p w14:paraId="5385E845" w14:textId="77777777" w:rsidR="00CA773F" w:rsidRPr="0033148D" w:rsidRDefault="00CA773F" w:rsidP="0033148D">
            <w:pPr>
              <w:spacing w:after="0" w:line="240" w:lineRule="auto"/>
              <w:rPr>
                <w:rFonts w:ascii="Calibri" w:eastAsia="Times New Roman" w:hAnsi="Calibri" w:cs="Times New Roman"/>
                <w:b/>
                <w:bCs/>
                <w:color w:val="000000"/>
                <w:highlight w:val="cyan"/>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32C78D4" w14:textId="77777777" w:rsidR="00CA773F" w:rsidRPr="0033148D" w:rsidRDefault="00CA773F" w:rsidP="0033148D">
            <w:pPr>
              <w:spacing w:after="0" w:line="240" w:lineRule="auto"/>
              <w:jc w:val="center"/>
              <w:rPr>
                <w:rFonts w:ascii="Calibri" w:eastAsia="Times New Roman" w:hAnsi="Calibri" w:cs="Times New Roman"/>
                <w:color w:val="000000"/>
                <w:highlight w:val="cyan"/>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6C244E14" w14:textId="77777777" w:rsidR="00CA773F" w:rsidRPr="0033148D" w:rsidRDefault="00CA773F" w:rsidP="0033148D">
            <w:pPr>
              <w:spacing w:after="0" w:line="240" w:lineRule="auto"/>
              <w:jc w:val="center"/>
              <w:rPr>
                <w:rFonts w:ascii="Calibri" w:eastAsia="Times New Roman" w:hAnsi="Calibri" w:cs="Times New Roman"/>
                <w:color w:val="000000"/>
                <w:highlight w:val="cyan"/>
                <w:lang w:eastAsia="hr-HR"/>
              </w:rPr>
            </w:pPr>
          </w:p>
        </w:tc>
        <w:tc>
          <w:tcPr>
            <w:tcW w:w="2835" w:type="dxa"/>
            <w:tcBorders>
              <w:top w:val="nil"/>
              <w:left w:val="nil"/>
              <w:bottom w:val="single" w:sz="4" w:space="0" w:color="auto"/>
              <w:right w:val="single" w:sz="4" w:space="0" w:color="auto"/>
            </w:tcBorders>
            <w:shd w:val="clear" w:color="auto" w:fill="FFE599" w:themeFill="accent4" w:themeFillTint="66"/>
            <w:noWrap/>
            <w:vAlign w:val="center"/>
            <w:hideMark/>
          </w:tcPr>
          <w:p w14:paraId="47D45924" w14:textId="77777777" w:rsidR="00CA773F" w:rsidRPr="0033148D" w:rsidRDefault="00CA773F"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3543" w:type="dxa"/>
            <w:tcBorders>
              <w:top w:val="nil"/>
              <w:left w:val="nil"/>
              <w:bottom w:val="single" w:sz="4" w:space="0" w:color="auto"/>
              <w:right w:val="single" w:sz="4" w:space="0" w:color="auto"/>
            </w:tcBorders>
            <w:shd w:val="clear" w:color="auto" w:fill="auto"/>
            <w:noWrap/>
            <w:vAlign w:val="center"/>
            <w:hideMark/>
          </w:tcPr>
          <w:p w14:paraId="386C87EE" w14:textId="77777777" w:rsidR="00CA773F" w:rsidRPr="0033148D" w:rsidRDefault="00CA773F" w:rsidP="0033148D">
            <w:pPr>
              <w:spacing w:after="0" w:line="240" w:lineRule="auto"/>
              <w:jc w:val="center"/>
              <w:rPr>
                <w:rFonts w:ascii="Calibri" w:eastAsia="Times New Roman" w:hAnsi="Calibri" w:cs="Times New Roman"/>
                <w:color w:val="000000"/>
                <w:lang w:eastAsia="hr-HR"/>
              </w:rPr>
            </w:pPr>
          </w:p>
        </w:tc>
      </w:tr>
      <w:tr w:rsidR="00CA773F" w:rsidRPr="0033148D" w14:paraId="36D60384" w14:textId="77777777" w:rsidTr="00E60FCA">
        <w:trPr>
          <w:trHeight w:val="64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9C00E1" w14:textId="20C8A361" w:rsidR="00CA773F" w:rsidRPr="0033148D" w:rsidRDefault="00CA773F" w:rsidP="0096041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7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2DA96C0" w14:textId="00BB54D2" w:rsidR="00CA773F"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Nije bilo izmjena.</w:t>
            </w:r>
          </w:p>
        </w:tc>
      </w:tr>
      <w:tr w:rsidR="000E38BD" w:rsidRPr="0033148D" w14:paraId="2B31C0FD" w14:textId="77777777" w:rsidTr="00E60FCA">
        <w:trPr>
          <w:trHeight w:val="23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B51A888" w14:textId="420026F3" w:rsidR="000E38BD" w:rsidRPr="0033148D" w:rsidRDefault="000E38BD" w:rsidP="0096041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r w:rsidRPr="0033148D">
              <w:rPr>
                <w:rFonts w:ascii="Calibri" w:eastAsia="Times New Roman" w:hAnsi="Calibri" w:cs="Times New Roman"/>
                <w:i/>
                <w:iCs/>
                <w:color w:val="000000"/>
                <w:lang w:eastAsia="hr-HR"/>
              </w:rPr>
              <w:t xml:space="preserve"> </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C950AB" w14:textId="77777777" w:rsidR="000E38BD" w:rsidRPr="0033148D" w:rsidRDefault="000E38BD" w:rsidP="0033148D">
            <w:pPr>
              <w:spacing w:after="0" w:line="240" w:lineRule="auto"/>
              <w:rPr>
                <w:rFonts w:eastAsia="Times New Roman" w:cstheme="minorHAnsi"/>
                <w:color w:val="000000"/>
                <w:lang w:eastAsia="hr-HR"/>
              </w:rPr>
            </w:pPr>
            <w:r w:rsidRPr="0033148D">
              <w:rPr>
                <w:color w:val="000000"/>
              </w:rPr>
              <w:t>Objavljeni su podaci o uplatama i isplatama iz proračuna za sve županije, 91 grad i 126 općina.</w:t>
            </w:r>
          </w:p>
          <w:p w14:paraId="58288FF4" w14:textId="77777777" w:rsidR="000E38BD" w:rsidRPr="0033148D" w:rsidRDefault="000E38BD" w:rsidP="0033148D">
            <w:pPr>
              <w:spacing w:after="0" w:line="240" w:lineRule="auto"/>
              <w:rPr>
                <w:rFonts w:eastAsia="Times New Roman" w:cstheme="minorHAnsi"/>
                <w:color w:val="000000"/>
                <w:lang w:eastAsia="hr-HR"/>
              </w:rPr>
            </w:pPr>
            <w:r w:rsidRPr="0033148D">
              <w:rPr>
                <w:rFonts w:cstheme="minorHAnsi"/>
              </w:rPr>
              <w:t xml:space="preserve">Hrvatska zajednica županija kao nacionalna asocijacija svih županija i Grada Zagreba kontinuirano provodi projekt </w:t>
            </w:r>
            <w:hyperlink r:id="rId28" w:history="1">
              <w:r w:rsidRPr="0033148D">
                <w:rPr>
                  <w:rStyle w:val="Hyperlink"/>
                  <w:rFonts w:cstheme="minorHAnsi"/>
                  <w:b/>
                  <w:bCs/>
                  <w:color w:val="467886"/>
                </w:rPr>
                <w:t>Otvoreni proračun</w:t>
              </w:r>
            </w:hyperlink>
            <w:r w:rsidRPr="0033148D">
              <w:rPr>
                <w:rFonts w:cstheme="minorHAnsi"/>
              </w:rPr>
              <w:t xml:space="preserve">, putem kojeg su dostupni proračunski podaci za sve županije i Grad Zagreb. Ove godine aplikacija je proširena i na </w:t>
            </w:r>
            <w:r w:rsidRPr="0033148D">
              <w:rPr>
                <w:rFonts w:cstheme="minorHAnsi"/>
                <w:b/>
                <w:bCs/>
              </w:rPr>
              <w:t>Otvorene županije</w:t>
            </w:r>
            <w:r w:rsidRPr="0033148D">
              <w:rPr>
                <w:rFonts w:cstheme="minorHAnsi"/>
              </w:rPr>
              <w:t xml:space="preserve"> s dva osnovna cilja: </w:t>
            </w:r>
          </w:p>
          <w:p w14:paraId="272769B2" w14:textId="77777777" w:rsidR="000E38BD" w:rsidRPr="0033148D" w:rsidRDefault="000E38BD" w:rsidP="0033148D">
            <w:pPr>
              <w:spacing w:line="240" w:lineRule="auto"/>
              <w:rPr>
                <w:rFonts w:cstheme="minorHAnsi"/>
              </w:rPr>
            </w:pPr>
            <w:r w:rsidRPr="0033148D">
              <w:rPr>
                <w:rFonts w:cstheme="minorHAnsi"/>
              </w:rPr>
              <w:t>1. putem jednostavne aplikacije, na unificirani način građanima i svim zainteresiranim sudionicima vizualizirati:</w:t>
            </w:r>
          </w:p>
          <w:p w14:paraId="2E0E9447" w14:textId="03F299AA" w:rsidR="000E38BD" w:rsidRPr="00352A62" w:rsidRDefault="000E38BD" w:rsidP="00352A62">
            <w:pPr>
              <w:pStyle w:val="ListParagraph"/>
              <w:numPr>
                <w:ilvl w:val="0"/>
                <w:numId w:val="47"/>
              </w:numPr>
              <w:spacing w:line="240" w:lineRule="auto"/>
              <w:rPr>
                <w:rFonts w:cstheme="minorHAnsi"/>
              </w:rPr>
            </w:pPr>
            <w:r w:rsidRPr="00352A62">
              <w:rPr>
                <w:rFonts w:cstheme="minorHAnsi"/>
              </w:rPr>
              <w:t>županijske proračune po svim proračunskim klasifikacijama</w:t>
            </w:r>
          </w:p>
          <w:p w14:paraId="005B2DA1" w14:textId="393D8722" w:rsidR="000E38BD" w:rsidRPr="00352A62" w:rsidRDefault="000E38BD" w:rsidP="00352A62">
            <w:pPr>
              <w:pStyle w:val="ListParagraph"/>
              <w:numPr>
                <w:ilvl w:val="0"/>
                <w:numId w:val="47"/>
              </w:numPr>
              <w:spacing w:line="240" w:lineRule="auto"/>
              <w:rPr>
                <w:rFonts w:cstheme="minorHAnsi"/>
              </w:rPr>
            </w:pPr>
            <w:r w:rsidRPr="00352A62">
              <w:rPr>
                <w:rFonts w:cstheme="minorHAnsi"/>
              </w:rPr>
              <w:t>najvažnije pokazatelje razvoja (poduzetništvo, turizam, demografija)</w:t>
            </w:r>
          </w:p>
          <w:p w14:paraId="44F2380E" w14:textId="77777777" w:rsidR="000E38BD" w:rsidRPr="0033148D" w:rsidRDefault="000E38BD" w:rsidP="0033148D">
            <w:pPr>
              <w:spacing w:line="240" w:lineRule="auto"/>
              <w:rPr>
                <w:rFonts w:cstheme="minorHAnsi"/>
              </w:rPr>
            </w:pPr>
            <w:r w:rsidRPr="0033148D">
              <w:rPr>
                <w:rFonts w:cstheme="minorHAnsi"/>
              </w:rPr>
              <w:t xml:space="preserve">2. Omogućiti županijskim upravama detaljnu analizu i usporedbu lokalnih i regionalnih proračuna, najvažnijih gospodarskih, turističkih i demografskih pokazatelja. </w:t>
            </w:r>
          </w:p>
          <w:p w14:paraId="1B5D3E44" w14:textId="77777777" w:rsidR="000E38BD" w:rsidRPr="0033148D" w:rsidRDefault="000E38BD" w:rsidP="0033148D">
            <w:pPr>
              <w:spacing w:line="240" w:lineRule="auto"/>
              <w:rPr>
                <w:rFonts w:cstheme="minorHAnsi"/>
              </w:rPr>
            </w:pPr>
            <w:r w:rsidRPr="0033148D">
              <w:rPr>
                <w:rFonts w:cstheme="minorHAnsi"/>
              </w:rPr>
              <w:t xml:space="preserve">Prema Naputku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w:t>
            </w:r>
            <w:r w:rsidRPr="0033148D">
              <w:rPr>
                <w:rFonts w:cstheme="minorHAnsi"/>
                <w:b/>
                <w:bCs/>
              </w:rPr>
              <w:t>Ministarstva financija</w:t>
            </w:r>
            <w:r w:rsidRPr="0033148D">
              <w:rPr>
                <w:rFonts w:cstheme="minorHAnsi"/>
              </w:rPr>
              <w:t>, županije su dužne javno objavljivati informacije o trošenju sredstava na svojim mrežnim stranicama. Nadzorno tijelo javne objave tih podataka je Ministarstvo financija.</w:t>
            </w:r>
            <w:r w:rsidRPr="0033148D">
              <w:rPr>
                <w:rFonts w:cstheme="minorHAnsi"/>
                <w:b/>
                <w:bCs/>
              </w:rPr>
              <w:t xml:space="preserve"> </w:t>
            </w:r>
          </w:p>
          <w:p w14:paraId="632A7C03" w14:textId="77777777" w:rsidR="000E38BD" w:rsidRPr="0033148D" w:rsidRDefault="000E38BD" w:rsidP="0033148D">
            <w:pPr>
              <w:spacing w:line="240" w:lineRule="auto"/>
              <w:rPr>
                <w:rFonts w:cstheme="minorHAnsi"/>
              </w:rPr>
            </w:pPr>
            <w:r w:rsidRPr="0033148D">
              <w:rPr>
                <w:rFonts w:cstheme="minorHAnsi"/>
              </w:rPr>
              <w:t xml:space="preserve">Prema podacima </w:t>
            </w:r>
            <w:r w:rsidRPr="0033148D">
              <w:rPr>
                <w:rFonts w:cstheme="minorHAnsi"/>
                <w:b/>
                <w:bCs/>
              </w:rPr>
              <w:t>Instituta za javne financije (studeni 2022. – travanj 2023)</w:t>
            </w:r>
            <w:r w:rsidRPr="0033148D">
              <w:rPr>
                <w:rFonts w:cstheme="minorHAnsi"/>
              </w:rPr>
              <w:t xml:space="preserve">, prosječna proračunska transparentnost svih hrvatskih županija iznosi 5, što znači da su sve županije na svojim mrežnim stranicama objavile: </w:t>
            </w:r>
          </w:p>
          <w:p w14:paraId="6FE4599A" w14:textId="77777777" w:rsidR="000E38BD" w:rsidRPr="0033148D" w:rsidRDefault="000E38BD" w:rsidP="0033148D">
            <w:pPr>
              <w:numPr>
                <w:ilvl w:val="0"/>
                <w:numId w:val="46"/>
              </w:numPr>
              <w:spacing w:after="0" w:line="240" w:lineRule="auto"/>
              <w:rPr>
                <w:rFonts w:eastAsia="Times New Roman" w:cstheme="minorHAnsi"/>
              </w:rPr>
            </w:pPr>
            <w:r w:rsidRPr="0033148D">
              <w:rPr>
                <w:rFonts w:eastAsia="Times New Roman" w:cstheme="minorHAnsi"/>
              </w:rPr>
              <w:t>izvještaj o godišnjem izvršenju proračuna za 2021.;</w:t>
            </w:r>
          </w:p>
          <w:p w14:paraId="264E52F9" w14:textId="77777777" w:rsidR="000E38BD" w:rsidRPr="0033148D" w:rsidRDefault="000E38BD" w:rsidP="0033148D">
            <w:pPr>
              <w:numPr>
                <w:ilvl w:val="0"/>
                <w:numId w:val="46"/>
              </w:numPr>
              <w:spacing w:after="0" w:line="240" w:lineRule="auto"/>
              <w:rPr>
                <w:rFonts w:eastAsia="Times New Roman" w:cstheme="minorHAnsi"/>
              </w:rPr>
            </w:pPr>
            <w:r w:rsidRPr="0033148D">
              <w:rPr>
                <w:rFonts w:eastAsia="Times New Roman" w:cstheme="minorHAnsi"/>
              </w:rPr>
              <w:t>izvještaj o polugodišnjem izvršenju proračuna za 2022.;</w:t>
            </w:r>
          </w:p>
          <w:p w14:paraId="25D1CED5" w14:textId="77777777" w:rsidR="000E38BD" w:rsidRPr="0033148D" w:rsidRDefault="000E38BD" w:rsidP="0033148D">
            <w:pPr>
              <w:numPr>
                <w:ilvl w:val="0"/>
                <w:numId w:val="46"/>
              </w:numPr>
              <w:spacing w:after="0" w:line="240" w:lineRule="auto"/>
              <w:rPr>
                <w:rFonts w:eastAsia="Times New Roman" w:cstheme="minorHAnsi"/>
              </w:rPr>
            </w:pPr>
            <w:r w:rsidRPr="0033148D">
              <w:rPr>
                <w:rFonts w:eastAsia="Times New Roman" w:cstheme="minorHAnsi"/>
              </w:rPr>
              <w:t>prijedlog proračuna za 2023.;</w:t>
            </w:r>
          </w:p>
          <w:p w14:paraId="7CF899F1" w14:textId="77777777" w:rsidR="000E38BD" w:rsidRPr="0033148D" w:rsidRDefault="000E38BD" w:rsidP="0033148D">
            <w:pPr>
              <w:numPr>
                <w:ilvl w:val="0"/>
                <w:numId w:val="46"/>
              </w:numPr>
              <w:spacing w:after="0" w:line="240" w:lineRule="auto"/>
              <w:rPr>
                <w:rFonts w:eastAsia="Times New Roman" w:cstheme="minorHAnsi"/>
              </w:rPr>
            </w:pPr>
            <w:r w:rsidRPr="0033148D">
              <w:rPr>
                <w:rFonts w:eastAsia="Times New Roman" w:cstheme="minorHAnsi"/>
              </w:rPr>
              <w:t>izglasani proračun za 2023.;</w:t>
            </w:r>
          </w:p>
          <w:p w14:paraId="16BB517C" w14:textId="31B40E25" w:rsidR="000E38BD" w:rsidRPr="00352A62" w:rsidRDefault="000E38BD" w:rsidP="00352A62">
            <w:pPr>
              <w:pStyle w:val="ListParagraph"/>
              <w:numPr>
                <w:ilvl w:val="0"/>
                <w:numId w:val="46"/>
              </w:numPr>
              <w:spacing w:after="0" w:line="240" w:lineRule="auto"/>
              <w:rPr>
                <w:rFonts w:ascii="Calibri" w:eastAsia="Times New Roman" w:hAnsi="Calibri" w:cs="Times New Roman"/>
                <w:color w:val="000000"/>
                <w:lang w:eastAsia="hr-HR"/>
              </w:rPr>
            </w:pPr>
            <w:r w:rsidRPr="00352A62">
              <w:rPr>
                <w:rFonts w:eastAsia="Times New Roman" w:cstheme="minorHAnsi"/>
              </w:rPr>
              <w:t>proračunski vodič za građane za 2023.</w:t>
            </w:r>
          </w:p>
        </w:tc>
      </w:tr>
      <w:tr w:rsidR="000E38BD" w:rsidRPr="0033148D" w14:paraId="07E166C0"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204663D" w14:textId="708BB75A" w:rsidR="000E38BD" w:rsidRPr="0033148D" w:rsidRDefault="000E38BD" w:rsidP="0096041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D3228D" w14:textId="77777777" w:rsidR="000E38BD" w:rsidRPr="0033148D" w:rsidRDefault="000E38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0E38BD" w:rsidRPr="0033148D" w14:paraId="6E9254D7" w14:textId="77777777" w:rsidTr="004C73DF">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2F79F6" w14:textId="4F143EB5" w:rsidR="000E38BD" w:rsidRPr="0033148D" w:rsidRDefault="000E38BD" w:rsidP="00960414">
            <w:pPr>
              <w:spacing w:line="240" w:lineRule="auto"/>
              <w:rPr>
                <w:rFonts w:ascii="Calibri" w:eastAsia="Times New Roman" w:hAnsi="Calibri" w:cs="Times New Roman"/>
                <w:color w:val="000000"/>
                <w:lang w:eastAsia="hr-HR"/>
              </w:rPr>
            </w:pPr>
            <w:r w:rsidRPr="0033148D">
              <w:rPr>
                <w:b/>
                <w:bCs/>
                <w:lang w:eastAsia="hr-HR"/>
              </w:rPr>
              <w:t>Sljedeći koraci</w:t>
            </w:r>
          </w:p>
        </w:tc>
        <w:tc>
          <w:tcPr>
            <w:tcW w:w="1176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66C4A2" w14:textId="77777777" w:rsidR="000E38BD" w:rsidRPr="0033148D" w:rsidRDefault="000E38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Nastavak aktivnosti planira se u sljedećem provedbenom razdoblju, odnosno Akcijskom planu)</w:t>
            </w:r>
          </w:p>
        </w:tc>
      </w:tr>
    </w:tbl>
    <w:p w14:paraId="7ECD9BB6" w14:textId="77777777" w:rsidR="00CA773F" w:rsidRPr="0033148D" w:rsidRDefault="00CA773F" w:rsidP="0033148D">
      <w:pPr>
        <w:spacing w:line="240" w:lineRule="auto"/>
      </w:pPr>
    </w:p>
    <w:tbl>
      <w:tblPr>
        <w:tblW w:w="15588" w:type="dxa"/>
        <w:jc w:val="center"/>
        <w:tblLook w:val="04A0" w:firstRow="1" w:lastRow="0" w:firstColumn="1" w:lastColumn="0" w:noHBand="0" w:noVBand="1"/>
      </w:tblPr>
      <w:tblGrid>
        <w:gridCol w:w="1980"/>
        <w:gridCol w:w="2126"/>
        <w:gridCol w:w="2693"/>
        <w:gridCol w:w="2410"/>
        <w:gridCol w:w="2693"/>
        <w:gridCol w:w="3686"/>
      </w:tblGrid>
      <w:tr w:rsidR="00C3788A" w:rsidRPr="0033148D" w14:paraId="625DADC8" w14:textId="77777777" w:rsidTr="00EB44F2">
        <w:trPr>
          <w:trHeight w:val="70"/>
          <w:jc w:val="center"/>
        </w:trPr>
        <w:tc>
          <w:tcPr>
            <w:tcW w:w="155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6748B9" w14:textId="19341E7C" w:rsidR="00C3788A"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lastRenderedPageBreak/>
              <w:t xml:space="preserve">Aktivnost </w:t>
            </w:r>
            <w:r w:rsidR="00C3788A" w:rsidRPr="0033148D">
              <w:rPr>
                <w:rFonts w:ascii="Calibri" w:eastAsia="Times New Roman" w:hAnsi="Calibri" w:cs="Times New Roman"/>
                <w:b/>
                <w:bCs/>
                <w:color w:val="000000"/>
                <w:lang w:eastAsia="hr-HR"/>
              </w:rPr>
              <w:t>3.4. Pravovremeno i kontinuirano na mrežnim stranicama Ministarstva financija objavljivati mjesečne serije prihoda i rashoda Državnog proračuna prema nacionalnoj metodologiji računskog plana, tromjesečno objavljivati izvještaje o prihodima i rashodima, primicima i izdacima izvanproračunskih korisnika državnog proračuna i tromjesečne podatke za opću državu prema novoj GFS 2014 metodologiji</w:t>
            </w:r>
          </w:p>
        </w:tc>
      </w:tr>
      <w:tr w:rsidR="00C3788A" w:rsidRPr="0033148D" w14:paraId="62F2ACD2" w14:textId="77777777" w:rsidTr="00960414">
        <w:trPr>
          <w:trHeight w:val="586"/>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F43CEF1" w14:textId="4C3A150A" w:rsidR="00C3788A" w:rsidRPr="0033148D" w:rsidRDefault="002256D3"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766EF2F" w14:textId="77777777" w:rsidR="00C3788A" w:rsidRPr="0033148D" w:rsidRDefault="0064321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financija</w:t>
            </w:r>
          </w:p>
        </w:tc>
      </w:tr>
      <w:tr w:rsidR="00C3788A" w:rsidRPr="0033148D" w14:paraId="470D627C" w14:textId="77777777" w:rsidTr="00960414">
        <w:trPr>
          <w:trHeight w:val="552"/>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A59452A" w14:textId="6A0CE2D6" w:rsidR="00C3788A" w:rsidRPr="0033148D" w:rsidRDefault="002256D3"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1DBF1821" w14:textId="77777777" w:rsidR="00C3788A" w:rsidRPr="0033148D" w:rsidRDefault="0064321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Zavod za makroekonomske i fiskalne analize i projekcije</w:t>
            </w:r>
          </w:p>
        </w:tc>
      </w:tr>
      <w:tr w:rsidR="00C3788A" w:rsidRPr="0033148D" w14:paraId="5150DB92" w14:textId="77777777" w:rsidTr="0083271E">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788073C"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88A80FB"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24830483" w14:textId="47611E4D" w:rsidR="00C3788A"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2BFE18B8" w14:textId="77777777" w:rsidTr="0083271E">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260462E8" w14:textId="77777777"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1532338"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3D7AD304" w14:textId="2BC24F9C" w:rsidR="00C3788A"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330A482F" w14:textId="77777777" w:rsidTr="00960414">
        <w:trPr>
          <w:trHeight w:val="43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EEE110" w14:textId="79EBCCB4"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213CC2CF" w14:textId="77777777" w:rsidR="00C3788A" w:rsidRPr="0033148D" w:rsidRDefault="0064321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kontinuirano</w:t>
            </w:r>
          </w:p>
        </w:tc>
      </w:tr>
      <w:tr w:rsidR="00C3788A" w:rsidRPr="0033148D" w14:paraId="2D00EA17" w14:textId="77777777" w:rsidTr="00960414">
        <w:trPr>
          <w:trHeight w:val="43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B63EA0" w14:textId="5BCDEDAC" w:rsidR="00C3788A" w:rsidRPr="0033148D" w:rsidRDefault="00C3788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1E8D479C" w14:textId="77777777" w:rsidR="00C3788A" w:rsidRPr="0033148D" w:rsidRDefault="0064321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kontinuirano</w:t>
            </w:r>
          </w:p>
        </w:tc>
      </w:tr>
      <w:tr w:rsidR="00C3788A" w:rsidRPr="0033148D" w14:paraId="47365B57" w14:textId="77777777" w:rsidTr="0083271E">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B5F04F1" w14:textId="60E5FF9D" w:rsidR="00C3788A" w:rsidRPr="0033148D" w:rsidRDefault="002256D3"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074D9AC0" w14:textId="730F0CB1" w:rsidR="00C3788A" w:rsidRPr="0033148D" w:rsidRDefault="00AB42A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Pravovremeno i kontinuirano na mrežnim stranicama Ministarstva financija objavljene mjesečne serije prihoda i rashoda Državnog proračuna prema nacionalnoj metodologiji računskog plana, tromjesečno objavljeni izvještaji o prihodima i rashodima, primicima i izdacima izvanproračunskih korisnika državnog proračuna i tromjesečni podaci za opću državu prema novoj GFS 2014 metodologiji</w:t>
            </w:r>
          </w:p>
        </w:tc>
      </w:tr>
      <w:tr w:rsidR="00C3788A" w:rsidRPr="0033148D" w14:paraId="3A82AB77" w14:textId="77777777" w:rsidTr="0083271E">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CAEDE98" w14:textId="24F96646" w:rsidR="00C3788A" w:rsidRPr="0033148D" w:rsidRDefault="00C3788A"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B9E38C0"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1FF3D4D3"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68386988"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686" w:type="dxa"/>
            <w:tcBorders>
              <w:top w:val="single" w:sz="4" w:space="0" w:color="auto"/>
              <w:left w:val="nil"/>
              <w:bottom w:val="single" w:sz="4" w:space="0" w:color="auto"/>
              <w:right w:val="single" w:sz="4" w:space="0" w:color="auto"/>
            </w:tcBorders>
            <w:shd w:val="clear" w:color="000000" w:fill="F2F2F2"/>
            <w:vAlign w:val="center"/>
            <w:hideMark/>
          </w:tcPr>
          <w:p w14:paraId="5735802A" w14:textId="77777777" w:rsidR="00C3788A" w:rsidRPr="0033148D" w:rsidRDefault="00C3788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C3788A" w:rsidRPr="0033148D" w14:paraId="1C0CBD1E" w14:textId="77777777" w:rsidTr="0083271E">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1F8D6C3" w14:textId="77777777" w:rsidR="00C3788A" w:rsidRPr="0033148D" w:rsidRDefault="00C3788A"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253CB37" w14:textId="77777777" w:rsidR="00C3788A" w:rsidRPr="0033148D" w:rsidRDefault="00C3788A"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63A79E52" w14:textId="77777777" w:rsidR="00C3788A" w:rsidRPr="0033148D" w:rsidRDefault="00C3788A"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071A97A" w14:textId="77777777" w:rsidR="00C3788A" w:rsidRPr="0033148D" w:rsidRDefault="00C3788A" w:rsidP="0033148D">
            <w:pPr>
              <w:spacing w:after="0" w:line="240" w:lineRule="auto"/>
              <w:jc w:val="center"/>
              <w:rPr>
                <w:rFonts w:ascii="Calibri" w:eastAsia="Times New Roman" w:hAnsi="Calibri" w:cs="Times New Roman"/>
                <w:color w:val="000000"/>
                <w:lang w:eastAsia="hr-HR"/>
              </w:rPr>
            </w:pPr>
          </w:p>
        </w:tc>
        <w:tc>
          <w:tcPr>
            <w:tcW w:w="3686" w:type="dxa"/>
            <w:tcBorders>
              <w:top w:val="nil"/>
              <w:left w:val="nil"/>
              <w:bottom w:val="single" w:sz="4" w:space="0" w:color="auto"/>
              <w:right w:val="single" w:sz="4" w:space="0" w:color="auto"/>
            </w:tcBorders>
            <w:shd w:val="clear" w:color="auto" w:fill="A8D08D" w:themeFill="accent6" w:themeFillTint="99"/>
            <w:noWrap/>
            <w:vAlign w:val="center"/>
            <w:hideMark/>
          </w:tcPr>
          <w:p w14:paraId="137F7734" w14:textId="4C80FC61" w:rsidR="00C3788A" w:rsidRPr="0033148D" w:rsidRDefault="004B7C5E"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C3788A" w:rsidRPr="0033148D" w14:paraId="289FF493" w14:textId="77777777" w:rsidTr="00960414">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FBFD65B" w14:textId="0512EEDF" w:rsidR="00C3788A" w:rsidRPr="0033148D" w:rsidRDefault="00C3788A" w:rsidP="0096041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482" w:type="dxa"/>
            <w:gridSpan w:val="4"/>
            <w:tcBorders>
              <w:top w:val="nil"/>
              <w:left w:val="nil"/>
              <w:bottom w:val="single" w:sz="4" w:space="0" w:color="auto"/>
              <w:right w:val="single" w:sz="4" w:space="0" w:color="auto"/>
            </w:tcBorders>
            <w:shd w:val="clear" w:color="auto" w:fill="auto"/>
            <w:noWrap/>
            <w:vAlign w:val="center"/>
          </w:tcPr>
          <w:p w14:paraId="6D8F2C36" w14:textId="77777777" w:rsidR="00C3788A" w:rsidRPr="0033148D" w:rsidRDefault="00C3788A"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 xml:space="preserve">Nije bilo izmjene aktivnosti. </w:t>
            </w:r>
          </w:p>
        </w:tc>
      </w:tr>
      <w:tr w:rsidR="00C3788A" w:rsidRPr="0033148D" w14:paraId="5C1DDDEE" w14:textId="77777777" w:rsidTr="00362DB7">
        <w:trPr>
          <w:trHeight w:val="169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B76870B" w14:textId="4262A546" w:rsidR="00C3788A" w:rsidRPr="0033148D" w:rsidRDefault="00C3788A" w:rsidP="0096041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276A18"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Cjelokupna javnost je mogla dobiti uvid u važne izvještaje (način ostvarenja Državnog proračuna po mjesecima, kao i ostvarivanje prihoda i rashoda izvanproračunskih fondova).</w:t>
            </w:r>
          </w:p>
        </w:tc>
      </w:tr>
      <w:tr w:rsidR="00C3788A" w:rsidRPr="0033148D" w14:paraId="45FA1FCE" w14:textId="77777777" w:rsidTr="0096041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BA91D28" w14:textId="47E8F776" w:rsidR="00C3788A" w:rsidRPr="0033148D" w:rsidRDefault="00C3788A" w:rsidP="0096041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D07A8C" w14:textId="6040B323" w:rsidR="00C3788A" w:rsidRPr="0033148D" w:rsidRDefault="00881B55"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3788A" w:rsidRPr="0033148D" w14:paraId="3C680271" w14:textId="77777777" w:rsidTr="00960414">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A2FE99" w14:textId="33323B0D" w:rsidR="00C3788A" w:rsidRPr="0033148D" w:rsidRDefault="00C3788A" w:rsidP="00960414">
            <w:pPr>
              <w:spacing w:line="240" w:lineRule="auto"/>
              <w:rPr>
                <w:rFonts w:ascii="Calibri" w:eastAsia="Times New Roman" w:hAnsi="Calibri" w:cs="Times New Roman"/>
                <w:color w:val="000000"/>
                <w:lang w:eastAsia="hr-HR"/>
              </w:rPr>
            </w:pPr>
            <w:r w:rsidRPr="0033148D">
              <w:rPr>
                <w:b/>
                <w:bCs/>
                <w:lang w:eastAsia="hr-HR"/>
              </w:rPr>
              <w:t>Sljedeći koraci</w:t>
            </w:r>
            <w:r w:rsidR="00960414">
              <w:rPr>
                <w:b/>
                <w:bCs/>
                <w:lang w:eastAsia="hr-HR"/>
              </w:rPr>
              <w:t>:</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30E087A" w14:textId="77777777" w:rsidR="00C3788A" w:rsidRPr="0033148D" w:rsidRDefault="00C3788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Planira se nastavak aktivnosti u istom obliku.</w:t>
            </w:r>
          </w:p>
        </w:tc>
      </w:tr>
    </w:tbl>
    <w:p w14:paraId="7D3285E2" w14:textId="77777777" w:rsidR="00C3788A" w:rsidRPr="0033148D" w:rsidRDefault="00C3788A" w:rsidP="0033148D">
      <w:pPr>
        <w:spacing w:line="240" w:lineRule="auto"/>
      </w:pPr>
    </w:p>
    <w:tbl>
      <w:tblPr>
        <w:tblW w:w="15588" w:type="dxa"/>
        <w:jc w:val="center"/>
        <w:tblLook w:val="04A0" w:firstRow="1" w:lastRow="0" w:firstColumn="1" w:lastColumn="0" w:noHBand="0" w:noVBand="1"/>
      </w:tblPr>
      <w:tblGrid>
        <w:gridCol w:w="1980"/>
        <w:gridCol w:w="2126"/>
        <w:gridCol w:w="2693"/>
        <w:gridCol w:w="2694"/>
        <w:gridCol w:w="2976"/>
        <w:gridCol w:w="3119"/>
      </w:tblGrid>
      <w:tr w:rsidR="00C3788A" w:rsidRPr="0033148D" w14:paraId="3D696161" w14:textId="77777777" w:rsidTr="00E915CD">
        <w:trPr>
          <w:trHeight w:val="431"/>
          <w:jc w:val="center"/>
        </w:trPr>
        <w:tc>
          <w:tcPr>
            <w:tcW w:w="1558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4A31E8" w14:textId="5FE02B4D" w:rsidR="00C3788A"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lastRenderedPageBreak/>
              <w:t xml:space="preserve">Aktivnost </w:t>
            </w:r>
            <w:r w:rsidR="00C3788A" w:rsidRPr="0033148D">
              <w:rPr>
                <w:rFonts w:ascii="Calibri" w:eastAsia="Times New Roman" w:hAnsi="Calibri" w:cs="Times New Roman"/>
                <w:b/>
                <w:bCs/>
                <w:color w:val="000000"/>
                <w:lang w:eastAsia="hr-HR"/>
              </w:rPr>
              <w:t>3.5. Objava informacija o trošenju sredstava jedinica lokalne i područne (regionalne) samouprave, proračunskih i izvanproračunskih korisnika</w:t>
            </w:r>
          </w:p>
        </w:tc>
      </w:tr>
      <w:tr w:rsidR="00C3788A" w:rsidRPr="0033148D" w14:paraId="0CC2EAF2" w14:textId="77777777" w:rsidTr="00E915CD">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6B8D0D8" w14:textId="37B1D459" w:rsidR="00C3788A" w:rsidRPr="0033148D" w:rsidRDefault="002256D3"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 xml:space="preserve">Nositelj aktivnosti: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B30DE0A" w14:textId="77777777" w:rsidR="00C3788A" w:rsidRPr="0033148D" w:rsidRDefault="001A78EF"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Ministarstvo financija</w:t>
            </w:r>
          </w:p>
        </w:tc>
      </w:tr>
      <w:tr w:rsidR="00C3788A" w:rsidRPr="0033148D" w14:paraId="4417A0BE" w14:textId="77777777" w:rsidTr="00A20739">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29FE968" w14:textId="1CABC089" w:rsidR="00C3788A" w:rsidRPr="0033148D" w:rsidRDefault="002256D3" w:rsidP="0033148D">
            <w:pPr>
              <w:spacing w:after="0" w:line="240" w:lineRule="auto"/>
              <w:rPr>
                <w:rFonts w:ascii="Calibri" w:eastAsia="Times New Roman" w:hAnsi="Calibri" w:cs="Times New Roman"/>
                <w:b/>
                <w:bCs/>
                <w:lang w:eastAsia="hr-HR"/>
              </w:rPr>
            </w:pPr>
            <w:proofErr w:type="spellStart"/>
            <w:r w:rsidRPr="0033148D">
              <w:rPr>
                <w:rFonts w:ascii="Calibri" w:eastAsia="Times New Roman" w:hAnsi="Calibri" w:cs="Times New Roman"/>
                <w:b/>
                <w:bCs/>
                <w:lang w:eastAsia="hr-HR"/>
              </w:rPr>
              <w:t>Sunositelj</w:t>
            </w:r>
            <w:proofErr w:type="spellEnd"/>
            <w:r w:rsidRPr="0033148D">
              <w:rPr>
                <w:rFonts w:ascii="Calibri" w:eastAsia="Times New Roman" w:hAnsi="Calibri" w:cs="Times New Roman"/>
                <w:b/>
                <w:bCs/>
                <w:lang w:eastAsia="hr-HR"/>
              </w:rPr>
              <w:t>(i) aktivnosti:</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6BCA0C60"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 xml:space="preserve">Ministarstvo financija - Državna riznica, Sektor za izvršavanje državnog proračuna, Sektor za podršku sustav financiranja jedinica lokalne i područne (regionalne) samouprave </w:t>
            </w:r>
          </w:p>
          <w:p w14:paraId="4149B7A9"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Svi obveznici objave informacija o trošenju sredstava sukladno Zakonu o proračunu</w:t>
            </w:r>
          </w:p>
        </w:tc>
      </w:tr>
      <w:tr w:rsidR="00C3788A" w:rsidRPr="0033148D" w14:paraId="6B00AAC8" w14:textId="77777777" w:rsidTr="00A20739">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97E6466"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0DE92EA"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 xml:space="preserve">Javni sektor: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55B7107F" w14:textId="00B0A138" w:rsidR="00C3788A" w:rsidRPr="0033148D" w:rsidRDefault="00A20739"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w:t>
            </w:r>
          </w:p>
        </w:tc>
      </w:tr>
      <w:tr w:rsidR="00C3788A" w:rsidRPr="0033148D" w14:paraId="4FFD4228" w14:textId="77777777" w:rsidTr="00A20739">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3A4A1E9" w14:textId="77777777" w:rsidR="00C3788A" w:rsidRPr="0033148D" w:rsidRDefault="00C3788A" w:rsidP="0033148D">
            <w:pPr>
              <w:spacing w:after="0" w:line="240" w:lineRule="auto"/>
              <w:rPr>
                <w:rFonts w:ascii="Calibri" w:eastAsia="Times New Roman" w:hAnsi="Calibri" w:cs="Times New Roman"/>
                <w:b/>
                <w:bCs/>
                <w:color w:val="FF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2DE426CF"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 xml:space="preserve">OCD, privatni sektor, radne skupine, </w:t>
            </w:r>
            <w:proofErr w:type="spellStart"/>
            <w:r w:rsidRPr="0033148D">
              <w:rPr>
                <w:rFonts w:ascii="Calibri" w:eastAsia="Times New Roman" w:hAnsi="Calibri" w:cs="Times New Roman"/>
                <w:b/>
                <w:bCs/>
                <w:lang w:eastAsia="hr-HR"/>
              </w:rPr>
              <w:t>multilaterale</w:t>
            </w:r>
            <w:proofErr w:type="spellEnd"/>
            <w:r w:rsidRPr="0033148D">
              <w:rPr>
                <w:rFonts w:ascii="Calibri" w:eastAsia="Times New Roman" w:hAnsi="Calibri" w:cs="Times New Roman"/>
                <w:b/>
                <w:bCs/>
                <w:lang w:eastAsia="hr-HR"/>
              </w:rPr>
              <w:t xml:space="preserve">: </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24B1B1C3" w14:textId="194C5A02" w:rsidR="00C3788A" w:rsidRPr="0033148D" w:rsidRDefault="00A20739"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w:t>
            </w:r>
          </w:p>
        </w:tc>
      </w:tr>
      <w:tr w:rsidR="00C3788A" w:rsidRPr="0033148D" w14:paraId="48E2F65E" w14:textId="77777777" w:rsidTr="0096041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3DB2992" w14:textId="313D7F37" w:rsidR="00C3788A" w:rsidRPr="0033148D" w:rsidRDefault="00C3788A"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Datum početka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49D69A1C"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siječanj 2022.</w:t>
            </w:r>
          </w:p>
        </w:tc>
      </w:tr>
      <w:tr w:rsidR="00C3788A" w:rsidRPr="0033148D" w14:paraId="5BA31482" w14:textId="77777777" w:rsidTr="0096041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8C50362" w14:textId="6362866F" w:rsidR="00C3788A" w:rsidRPr="0033148D" w:rsidRDefault="00C3788A"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Datum završetka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491F94FA"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kontinuirano</w:t>
            </w:r>
          </w:p>
        </w:tc>
      </w:tr>
      <w:tr w:rsidR="00C3788A" w:rsidRPr="0033148D" w14:paraId="4C807FCA" w14:textId="77777777" w:rsidTr="00A20739">
        <w:trPr>
          <w:trHeight w:val="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5330A7E" w14:textId="6C58BD9E" w:rsidR="00C3788A" w:rsidRPr="0033148D" w:rsidRDefault="00122006" w:rsidP="0033148D">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Pokazatelji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tcPr>
          <w:p w14:paraId="42267CEF" w14:textId="77777777" w:rsidR="00C3788A" w:rsidRPr="0033148D" w:rsidRDefault="00C3788A"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Odredbom članka 144. stavka 10. Zakona o proračunu (</w:t>
            </w:r>
            <w:r w:rsidRPr="0033148D">
              <w:t xml:space="preserve"> </w:t>
            </w:r>
            <w:r w:rsidRPr="0033148D">
              <w:rPr>
                <w:rFonts w:ascii="Calibri" w:eastAsia="Times New Roman" w:hAnsi="Calibri" w:cs="Times New Roman"/>
                <w:lang w:eastAsia="hr-HR"/>
              </w:rPr>
              <w:t xml:space="preserve">Narodne novine, broj 144/21.), propisana je obveza jedinicama lokalne i područne (regionalne) samouprave, proračunskim i izvanproračunskim korisnicima da javno objavljuju informacije o trošenju sredstava na svojim mrežnim stranicama na način da te informacije budu lako dostupne, </w:t>
            </w:r>
            <w:proofErr w:type="spellStart"/>
            <w:r w:rsidRPr="0033148D">
              <w:rPr>
                <w:rFonts w:ascii="Calibri" w:eastAsia="Times New Roman" w:hAnsi="Calibri" w:cs="Times New Roman"/>
                <w:lang w:eastAsia="hr-HR"/>
              </w:rPr>
              <w:t>pretražive</w:t>
            </w:r>
            <w:proofErr w:type="spellEnd"/>
            <w:r w:rsidRPr="0033148D">
              <w:rPr>
                <w:rFonts w:ascii="Calibri" w:eastAsia="Times New Roman" w:hAnsi="Calibri" w:cs="Times New Roman"/>
                <w:lang w:eastAsia="hr-HR"/>
              </w:rPr>
              <w:t xml:space="preserve"> i strojno čitljive. </w:t>
            </w:r>
          </w:p>
          <w:p w14:paraId="112FBC50" w14:textId="5CA191FF" w:rsidR="00C3788A" w:rsidRPr="0033148D" w:rsidRDefault="001A78EF" w:rsidP="00E540F3">
            <w:pPr>
              <w:spacing w:after="120" w:line="240" w:lineRule="auto"/>
              <w:rPr>
                <w:rFonts w:ascii="Calibri" w:eastAsia="Times New Roman" w:hAnsi="Calibri" w:cs="Times New Roman"/>
                <w:lang w:eastAsia="hr-HR"/>
              </w:rPr>
            </w:pPr>
            <w:r w:rsidRPr="0033148D">
              <w:rPr>
                <w:rFonts w:ascii="Calibri" w:eastAsia="Times New Roman" w:hAnsi="Calibri" w:cs="Times New Roman"/>
                <w:lang w:eastAsia="hr-HR"/>
              </w:rPr>
              <w:t>Objava informacija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w:t>
            </w:r>
          </w:p>
          <w:p w14:paraId="72C79EF7" w14:textId="13075D27" w:rsidR="007A144C" w:rsidRPr="0033148D" w:rsidRDefault="001A78EF" w:rsidP="00E540F3">
            <w:pPr>
              <w:spacing w:after="120" w:line="240" w:lineRule="auto"/>
              <w:rPr>
                <w:rFonts w:ascii="Calibri" w:eastAsia="Times New Roman" w:hAnsi="Calibri" w:cs="Times New Roman"/>
                <w:lang w:eastAsia="hr-HR"/>
              </w:rPr>
            </w:pPr>
            <w:r w:rsidRPr="0033148D">
              <w:rPr>
                <w:rFonts w:ascii="Calibri" w:eastAsia="Times New Roman" w:hAnsi="Calibri" w:cs="Times New Roman"/>
                <w:lang w:eastAsia="hr-HR"/>
              </w:rPr>
              <w:t>Ministar financija naputkom će utvrditi okvirni sadržaj, minimalni skup podataka, način javne objave informacija o trošenju sredstava na mrežnim stranicama jedinica lokalne i područne (regionalne) samouprave, proračunskih i izvanproračunskih korisnika te učestalost objave informacija, kao i način njihovog masovnog preuzimanja. Ministar će donijeti Naputak do 30. lipnja 2022. godine.</w:t>
            </w:r>
            <w:r w:rsidR="007A144C" w:rsidRPr="0033148D">
              <w:rPr>
                <w:rFonts w:ascii="Calibri" w:eastAsia="Times New Roman" w:hAnsi="Calibri" w:cs="Times New Roman"/>
                <w:lang w:eastAsia="hr-HR"/>
              </w:rPr>
              <w:t xml:space="preserve"> </w:t>
            </w:r>
            <w:r w:rsidR="00C3788A" w:rsidRPr="0033148D">
              <w:rPr>
                <w:rFonts w:ascii="Calibri" w:eastAsia="Times New Roman" w:hAnsi="Calibri" w:cs="Times New Roman"/>
                <w:lang w:eastAsia="hr-HR"/>
              </w:rPr>
              <w:t>Naputak propisuje da su obveznici dužni objaviti prve informacije o trošenju sredstava za mjesec siječanj 2024., najkasnije do 20. veljače 2024. godine.</w:t>
            </w:r>
          </w:p>
          <w:p w14:paraId="02F001C4" w14:textId="77777777" w:rsidR="00C3788A" w:rsidRPr="0033148D" w:rsidRDefault="00C3788A" w:rsidP="00E540F3">
            <w:pPr>
              <w:spacing w:after="120" w:line="240" w:lineRule="auto"/>
              <w:rPr>
                <w:rFonts w:ascii="Calibri" w:eastAsia="Times New Roman" w:hAnsi="Calibri" w:cs="Times New Roman"/>
                <w:lang w:eastAsia="hr-HR"/>
              </w:rPr>
            </w:pPr>
            <w:r w:rsidRPr="0033148D">
              <w:rPr>
                <w:rFonts w:ascii="Calibri" w:eastAsia="Times New Roman" w:hAnsi="Calibri" w:cs="Times New Roman"/>
                <w:lang w:eastAsia="hr-HR"/>
              </w:rPr>
              <w:t>Budući da je objava informacija o trošenju sredstava zakonska obveza, očekujemo da će sve jedinice lokalne i područne (regionalne) samouprave, kao i proračunski i izvanproračunski korisnici kako državnog tako i lokalnih proračuna javno objavljivati informacije o trošenju proračunskih sredstava u propisanom roku.</w:t>
            </w:r>
          </w:p>
        </w:tc>
      </w:tr>
      <w:tr w:rsidR="00C3788A" w:rsidRPr="0033148D" w14:paraId="5B5D56CB" w14:textId="77777777" w:rsidTr="00A20739">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F14B7FD" w14:textId="05EA0A23" w:rsidR="00C3788A" w:rsidRPr="0033148D" w:rsidRDefault="00C3788A" w:rsidP="0033148D">
            <w:pPr>
              <w:spacing w:after="0" w:line="240" w:lineRule="auto"/>
              <w:rPr>
                <w:rFonts w:ascii="Calibri" w:eastAsia="Times New Roman" w:hAnsi="Calibri" w:cs="Times New Roman"/>
                <w:bCs/>
                <w:i/>
                <w:lang w:eastAsia="hr-HR"/>
              </w:rPr>
            </w:pPr>
            <w:r w:rsidRPr="0033148D">
              <w:rPr>
                <w:rFonts w:ascii="Calibri" w:eastAsia="Times New Roman" w:hAnsi="Calibri" w:cs="Times New Roman"/>
                <w:b/>
                <w:bCs/>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E32DF8"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2E673A64"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manjoj mjeri</w:t>
            </w:r>
          </w:p>
        </w:tc>
        <w:tc>
          <w:tcPr>
            <w:tcW w:w="2976" w:type="dxa"/>
            <w:tcBorders>
              <w:top w:val="single" w:sz="4" w:space="0" w:color="auto"/>
              <w:left w:val="nil"/>
              <w:bottom w:val="single" w:sz="4" w:space="0" w:color="auto"/>
              <w:right w:val="single" w:sz="4" w:space="0" w:color="auto"/>
            </w:tcBorders>
            <w:shd w:val="clear" w:color="000000" w:fill="F2F2F2"/>
            <w:vAlign w:val="center"/>
            <w:hideMark/>
          </w:tcPr>
          <w:p w14:paraId="4937EA1D"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znatnoj mjeri</w:t>
            </w:r>
          </w:p>
        </w:tc>
        <w:tc>
          <w:tcPr>
            <w:tcW w:w="3119" w:type="dxa"/>
            <w:tcBorders>
              <w:top w:val="single" w:sz="4" w:space="0" w:color="auto"/>
              <w:left w:val="nil"/>
              <w:bottom w:val="single" w:sz="4" w:space="0" w:color="auto"/>
              <w:right w:val="single" w:sz="4" w:space="0" w:color="auto"/>
            </w:tcBorders>
            <w:shd w:val="clear" w:color="000000" w:fill="F2F2F2"/>
            <w:vAlign w:val="center"/>
            <w:hideMark/>
          </w:tcPr>
          <w:p w14:paraId="011D47EF" w14:textId="77777777" w:rsidR="00C3788A" w:rsidRPr="0033148D" w:rsidRDefault="00C3788A" w:rsidP="0033148D">
            <w:pPr>
              <w:spacing w:after="0" w:line="240" w:lineRule="auto"/>
              <w:jc w:val="center"/>
              <w:rPr>
                <w:rFonts w:ascii="Calibri" w:eastAsia="Times New Roman" w:hAnsi="Calibri" w:cs="Times New Roman"/>
                <w:b/>
                <w:bCs/>
                <w:lang w:eastAsia="hr-HR"/>
              </w:rPr>
            </w:pPr>
            <w:r w:rsidRPr="0033148D">
              <w:rPr>
                <w:rFonts w:ascii="Calibri" w:eastAsia="Times New Roman" w:hAnsi="Calibri" w:cs="Times New Roman"/>
                <w:b/>
                <w:bCs/>
                <w:lang w:eastAsia="hr-HR"/>
              </w:rPr>
              <w:t>Provedeno u potpunosti</w:t>
            </w:r>
          </w:p>
        </w:tc>
      </w:tr>
      <w:tr w:rsidR="00C3788A" w:rsidRPr="0033148D" w14:paraId="019B1DAC" w14:textId="77777777" w:rsidTr="00A20739">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26D781B7" w14:textId="77777777" w:rsidR="00C3788A" w:rsidRPr="0033148D" w:rsidRDefault="00C3788A" w:rsidP="0033148D">
            <w:pPr>
              <w:spacing w:after="0" w:line="240" w:lineRule="auto"/>
              <w:rPr>
                <w:rFonts w:ascii="Calibri" w:eastAsia="Times New Roman" w:hAnsi="Calibri" w:cs="Times New Roman"/>
                <w:b/>
                <w:bCs/>
                <w:color w:val="FF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49811DD" w14:textId="77777777" w:rsidR="00C3788A" w:rsidRPr="0033148D" w:rsidRDefault="00C3788A" w:rsidP="0033148D">
            <w:pPr>
              <w:spacing w:after="0" w:line="240" w:lineRule="auto"/>
              <w:jc w:val="center"/>
              <w:rPr>
                <w:rFonts w:ascii="Calibri" w:eastAsia="Times New Roman" w:hAnsi="Calibri" w:cs="Times New Roman"/>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48F21098" w14:textId="77777777" w:rsidR="00C3788A" w:rsidRPr="0033148D" w:rsidRDefault="00C3788A" w:rsidP="0033148D">
            <w:pPr>
              <w:spacing w:after="0" w:line="240" w:lineRule="auto"/>
              <w:jc w:val="center"/>
              <w:rPr>
                <w:rFonts w:ascii="Calibri" w:eastAsia="Times New Roman" w:hAnsi="Calibri" w:cs="Times New Roman"/>
                <w:lang w:eastAsia="hr-HR"/>
              </w:rPr>
            </w:pPr>
          </w:p>
        </w:tc>
        <w:tc>
          <w:tcPr>
            <w:tcW w:w="2976" w:type="dxa"/>
            <w:tcBorders>
              <w:top w:val="nil"/>
              <w:left w:val="nil"/>
              <w:bottom w:val="single" w:sz="4" w:space="0" w:color="auto"/>
              <w:right w:val="single" w:sz="4" w:space="0" w:color="auto"/>
            </w:tcBorders>
            <w:shd w:val="clear" w:color="auto" w:fill="FFE599" w:themeFill="accent4" w:themeFillTint="66"/>
            <w:noWrap/>
            <w:vAlign w:val="center"/>
            <w:hideMark/>
          </w:tcPr>
          <w:p w14:paraId="097371BC" w14:textId="441B4971" w:rsidR="00C3788A" w:rsidRPr="0033148D" w:rsidRDefault="004B7C5E" w:rsidP="0033148D">
            <w:pPr>
              <w:spacing w:after="0" w:line="240" w:lineRule="auto"/>
              <w:jc w:val="center"/>
              <w:rPr>
                <w:rFonts w:ascii="Calibri" w:eastAsia="Times New Roman" w:hAnsi="Calibri" w:cs="Times New Roman"/>
                <w:lang w:eastAsia="hr-HR"/>
              </w:rPr>
            </w:pPr>
            <w:r w:rsidRPr="0033148D">
              <w:rPr>
                <w:rFonts w:ascii="Calibri" w:eastAsia="Times New Roman" w:hAnsi="Calibri" w:cs="Times New Roman"/>
                <w:lang w:eastAsia="hr-HR"/>
              </w:rPr>
              <w:t>x</w:t>
            </w:r>
          </w:p>
        </w:tc>
        <w:tc>
          <w:tcPr>
            <w:tcW w:w="3119" w:type="dxa"/>
            <w:tcBorders>
              <w:top w:val="nil"/>
              <w:left w:val="nil"/>
              <w:bottom w:val="single" w:sz="4" w:space="0" w:color="auto"/>
              <w:right w:val="single" w:sz="4" w:space="0" w:color="auto"/>
            </w:tcBorders>
            <w:shd w:val="clear" w:color="auto" w:fill="auto"/>
            <w:noWrap/>
            <w:vAlign w:val="center"/>
            <w:hideMark/>
          </w:tcPr>
          <w:p w14:paraId="2CDEFCF5" w14:textId="77777777" w:rsidR="00C3788A" w:rsidRPr="0033148D" w:rsidRDefault="00C3788A" w:rsidP="0033148D">
            <w:pPr>
              <w:spacing w:after="0" w:line="240" w:lineRule="auto"/>
              <w:jc w:val="center"/>
              <w:rPr>
                <w:rFonts w:ascii="Calibri" w:eastAsia="Times New Roman" w:hAnsi="Calibri" w:cs="Times New Roman"/>
                <w:lang w:eastAsia="hr-HR"/>
              </w:rPr>
            </w:pPr>
          </w:p>
        </w:tc>
      </w:tr>
      <w:tr w:rsidR="00C3788A" w:rsidRPr="0033148D" w14:paraId="170D0984" w14:textId="77777777" w:rsidTr="00E915CD">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6CDFAB8" w14:textId="546A64DF" w:rsidR="00C3788A" w:rsidRPr="0033148D" w:rsidRDefault="00C3788A" w:rsidP="00B6073A">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lastRenderedPageBreak/>
              <w:t>Izmjene aktivnosti</w:t>
            </w:r>
            <w:r w:rsidR="00B6073A">
              <w:rPr>
                <w:rFonts w:ascii="Calibri" w:eastAsia="Times New Roman" w:hAnsi="Calibri" w:cs="Times New Roman"/>
                <w:b/>
                <w:bCs/>
                <w:lang w:eastAsia="hr-HR"/>
              </w:rPr>
              <w:t>:</w:t>
            </w:r>
          </w:p>
        </w:tc>
        <w:tc>
          <w:tcPr>
            <w:tcW w:w="11482" w:type="dxa"/>
            <w:gridSpan w:val="4"/>
            <w:tcBorders>
              <w:top w:val="nil"/>
              <w:left w:val="nil"/>
              <w:bottom w:val="single" w:sz="4" w:space="0" w:color="auto"/>
              <w:right w:val="single" w:sz="4" w:space="0" w:color="auto"/>
            </w:tcBorders>
            <w:shd w:val="clear" w:color="auto" w:fill="auto"/>
            <w:noWrap/>
            <w:vAlign w:val="center"/>
          </w:tcPr>
          <w:p w14:paraId="17183745" w14:textId="31E3E4DE" w:rsidR="00C3788A" w:rsidRPr="0033148D" w:rsidRDefault="003A3AF5"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Nije bilo izmjena.</w:t>
            </w:r>
          </w:p>
        </w:tc>
      </w:tr>
      <w:tr w:rsidR="00C3788A" w:rsidRPr="0033148D" w14:paraId="512204BB" w14:textId="77777777" w:rsidTr="00A20739">
        <w:trPr>
          <w:trHeight w:val="23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32D050" w14:textId="60DF72D8" w:rsidR="00C3788A" w:rsidRPr="0033148D" w:rsidRDefault="00C3788A" w:rsidP="00B6073A">
            <w:pPr>
              <w:spacing w:after="0" w:line="240" w:lineRule="auto"/>
              <w:rPr>
                <w:rFonts w:ascii="Calibri" w:eastAsia="Times New Roman" w:hAnsi="Calibri" w:cs="Times New Roman"/>
                <w:lang w:eastAsia="hr-HR"/>
              </w:rPr>
            </w:pPr>
            <w:r w:rsidRPr="0033148D">
              <w:rPr>
                <w:rFonts w:ascii="Calibri" w:eastAsia="Times New Roman" w:hAnsi="Calibri" w:cs="Times New Roman"/>
                <w:b/>
                <w:bCs/>
                <w:lang w:eastAsia="hr-HR"/>
              </w:rPr>
              <w:t>Opis rezultata s pokazateljima provedbe: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6E7237" w14:textId="77777777" w:rsidR="001A78EF" w:rsidRPr="0033148D" w:rsidRDefault="001A78EF"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U svibnju 2023. godine ministar financija je donio Naputak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(Narodne novine, broj 59/23.), koji obvezuje jedinice lokalne i područne (regionalne) samouprave te proračunske i izvanproračunske korisnike na objavu informacija o trošenju sredstava odnosno informacija o isplatama pravnim i fizičkim osobama iz proračuna odnosno financijskog plana.</w:t>
            </w:r>
          </w:p>
          <w:p w14:paraId="0D5D58BD" w14:textId="77777777" w:rsidR="00C3788A" w:rsidRPr="0033148D" w:rsidRDefault="00306FB6" w:rsidP="0033148D">
            <w:pPr>
              <w:spacing w:after="0" w:line="240" w:lineRule="auto"/>
              <w:rPr>
                <w:rFonts w:ascii="Calibri" w:eastAsia="Times New Roman" w:hAnsi="Calibri" w:cs="Times New Roman"/>
                <w:lang w:eastAsia="hr-HR"/>
              </w:rPr>
            </w:pPr>
            <w:hyperlink r:id="rId29" w:history="1">
              <w:r w:rsidR="00C3788A" w:rsidRPr="0033148D">
                <w:rPr>
                  <w:rStyle w:val="Hyperlink"/>
                  <w:rFonts w:ascii="Calibri" w:eastAsia="Times New Roman" w:hAnsi="Calibri" w:cs="Times New Roman"/>
                  <w:lang w:eastAsia="hr-HR"/>
                </w:rPr>
                <w:t>https://narodne-novine.nn.hr/clanci/sluzbeni/2023_06_59_1003.html</w:t>
              </w:r>
            </w:hyperlink>
          </w:p>
        </w:tc>
      </w:tr>
      <w:tr w:rsidR="008F1C49" w:rsidRPr="0033148D" w14:paraId="7266EF2C" w14:textId="77777777" w:rsidTr="00E60FCA">
        <w:trPr>
          <w:trHeight w:val="565"/>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7771C21" w14:textId="7BA5D472" w:rsidR="008F1C49" w:rsidRPr="0033148D" w:rsidRDefault="008F1C49" w:rsidP="00B6073A">
            <w:pPr>
              <w:spacing w:after="0" w:line="240" w:lineRule="auto"/>
              <w:rPr>
                <w:rFonts w:ascii="Calibri" w:eastAsia="Times New Roman" w:hAnsi="Calibri" w:cs="Times New Roman"/>
                <w:b/>
                <w:bCs/>
                <w:lang w:eastAsia="hr-HR"/>
              </w:rPr>
            </w:pPr>
            <w:r w:rsidRPr="0033148D">
              <w:rPr>
                <w:rFonts w:ascii="Calibri" w:eastAsia="Times New Roman" w:hAnsi="Calibri" w:cs="Times New Roman"/>
                <w:b/>
                <w:bCs/>
                <w:lang w:eastAsia="hr-HR"/>
              </w:rPr>
              <w:t>Dodatne informacije:</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3F6A5F" w14:textId="71D71968" w:rsidR="008F1C49" w:rsidRPr="0033148D" w:rsidRDefault="008F1C49"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 xml:space="preserve">U 2024. godini započela je objava informacija o trošenju sredstava temeljem donesene zakonske regulative odnosno prva objava informacija sukladno Naputku o okvirnom sadržaju, minimalnom skupu podataka te načinu javne objave informacija o trošenju sredstava na mrežnim stranicama jedinica lokalne i područne (regionalne) samouprave te proračunskih i izvanproračunskih korisnika državnog proračuna i jedinica lokalne i područne (regionalne) samouprave. </w:t>
            </w:r>
          </w:p>
          <w:p w14:paraId="0EE06ADF" w14:textId="428B8285" w:rsidR="008F1C49" w:rsidRPr="0033148D" w:rsidRDefault="008F1C49" w:rsidP="00E540F3">
            <w:pPr>
              <w:spacing w:after="120" w:line="240" w:lineRule="auto"/>
              <w:rPr>
                <w:rFonts w:ascii="Calibri" w:eastAsia="Times New Roman" w:hAnsi="Calibri" w:cs="Times New Roman"/>
                <w:lang w:eastAsia="hr-HR"/>
              </w:rPr>
            </w:pPr>
            <w:r w:rsidRPr="0033148D">
              <w:rPr>
                <w:rFonts w:ascii="Calibri" w:eastAsia="Times New Roman" w:hAnsi="Calibri" w:cs="Times New Roman"/>
                <w:lang w:eastAsia="hr-HR"/>
              </w:rPr>
              <w:t xml:space="preserve">Ministarstvo financija je 20. veljače 2024. pokrenulo novu interaktivnu web aplikaciju za pregled isplata s jedinstvenog računa državnog proračuna dostupnu na mrežnim stranicama Ministarstva: </w:t>
            </w:r>
            <w:hyperlink r:id="rId30" w:history="1">
              <w:r w:rsidR="00136191" w:rsidRPr="0033148D">
                <w:rPr>
                  <w:rStyle w:val="Hyperlink"/>
                  <w:rFonts w:ascii="Calibri" w:eastAsia="Times New Roman" w:hAnsi="Calibri" w:cs="Times New Roman"/>
                  <w:lang w:eastAsia="hr-HR"/>
                </w:rPr>
                <w:t>https://www.drzavna-riznica.hr/trosenje_sredstava_DP</w:t>
              </w:r>
            </w:hyperlink>
            <w:r w:rsidR="00136191" w:rsidRPr="0033148D">
              <w:rPr>
                <w:rFonts w:ascii="Calibri" w:eastAsia="Times New Roman" w:hAnsi="Calibri" w:cs="Times New Roman"/>
                <w:lang w:eastAsia="hr-HR"/>
              </w:rPr>
              <w:t>.</w:t>
            </w:r>
          </w:p>
          <w:p w14:paraId="48D789E8" w14:textId="59F8565E" w:rsidR="008F1C49" w:rsidRPr="0033148D" w:rsidRDefault="008F1C49" w:rsidP="00E540F3">
            <w:pPr>
              <w:spacing w:after="120" w:line="240" w:lineRule="auto"/>
              <w:rPr>
                <w:rFonts w:ascii="Calibri" w:eastAsia="Times New Roman" w:hAnsi="Calibri" w:cs="Times New Roman"/>
                <w:lang w:eastAsia="hr-HR"/>
              </w:rPr>
            </w:pPr>
            <w:r w:rsidRPr="0033148D">
              <w:rPr>
                <w:rFonts w:ascii="Calibri" w:eastAsia="Times New Roman" w:hAnsi="Calibri" w:cs="Times New Roman"/>
                <w:lang w:eastAsia="hr-HR"/>
              </w:rPr>
              <w:t xml:space="preserve">Nova aplikacija zamjenjuje dosadašnju aplikaciju „Upit po dobavljačima“ i pruža proširene mogućnosti pregleda isplata i strukturiranja podataka. Podaci o isplatama mogu se pretraživati po primateljima sredstava, koji sada pored pravnih osoba, uključuju i fizičke osobe i primatelje sredstava izvan Republike Hrvatske, po isplatitelju sredstava (proračunskom i izvanproračunskom korisniku koji je dao nalog za isplatu) te po vrsti troška. Aplikacija omogućava kombinaciju više parametara pretrage te izvoz podataka u strojno čitljivom obliku. Klasificirani podaci prema zakonu kojim je uređena tajnost podataka i podaci čija bi objava bila protivna posebnim propisima ne objavljuju se. </w:t>
            </w:r>
          </w:p>
          <w:p w14:paraId="6F7EE6BE" w14:textId="1CDB3DC2" w:rsidR="008F1C49" w:rsidRPr="0033148D" w:rsidRDefault="008F1C49"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Podaci o isplatama osvježavaju se svakog radnog dana za prethodni radni dan, a moguće ih je pretraživati na godišnjoj odnosno mjesečnoj razini.</w:t>
            </w:r>
          </w:p>
        </w:tc>
      </w:tr>
      <w:tr w:rsidR="008F1C49" w:rsidRPr="0033148D" w14:paraId="7682D25E"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1F25767" w14:textId="61042D3F" w:rsidR="008F1C49" w:rsidRPr="0033148D" w:rsidRDefault="008F1C49" w:rsidP="00B6073A">
            <w:pPr>
              <w:spacing w:line="240" w:lineRule="auto"/>
              <w:rPr>
                <w:rFonts w:ascii="Calibri" w:eastAsia="Times New Roman" w:hAnsi="Calibri" w:cs="Times New Roman"/>
                <w:lang w:eastAsia="hr-HR"/>
              </w:rPr>
            </w:pPr>
            <w:r w:rsidRPr="0033148D">
              <w:rPr>
                <w:b/>
                <w:bCs/>
                <w:lang w:eastAsia="hr-HR"/>
              </w:rPr>
              <w:t>Sljedeći koraci</w:t>
            </w:r>
            <w:r w:rsidR="00B6073A">
              <w:rPr>
                <w:b/>
                <w:bCs/>
                <w:i/>
                <w:iCs/>
                <w:lang w:eastAsia="hr-HR"/>
              </w:rPr>
              <w:t>:</w:t>
            </w:r>
          </w:p>
        </w:tc>
        <w:tc>
          <w:tcPr>
            <w:tcW w:w="1148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9100453" w14:textId="77777777" w:rsidR="008F1C49" w:rsidRPr="0033148D" w:rsidRDefault="008F1C49" w:rsidP="0033148D">
            <w:pPr>
              <w:spacing w:after="0" w:line="240" w:lineRule="auto"/>
              <w:rPr>
                <w:rFonts w:ascii="Calibri" w:eastAsia="Times New Roman" w:hAnsi="Calibri" w:cs="Times New Roman"/>
                <w:lang w:eastAsia="hr-HR"/>
              </w:rPr>
            </w:pPr>
            <w:r w:rsidRPr="0033148D">
              <w:rPr>
                <w:rFonts w:ascii="Calibri" w:eastAsia="Times New Roman" w:hAnsi="Calibri" w:cs="Times New Roman"/>
                <w:lang w:eastAsia="hr-HR"/>
              </w:rPr>
              <w:t>Nastavak ove aktivnosti u istom planira se u sljedećem provedbenom razdoblju, odnosno Akcijskom planu</w:t>
            </w:r>
          </w:p>
        </w:tc>
      </w:tr>
    </w:tbl>
    <w:p w14:paraId="13CD67D9" w14:textId="77777777" w:rsidR="00C3788A" w:rsidRPr="00C615B2" w:rsidRDefault="00C3788A" w:rsidP="0033148D">
      <w:pPr>
        <w:spacing w:line="240" w:lineRule="auto"/>
      </w:pPr>
    </w:p>
    <w:p w14:paraId="4A15A182" w14:textId="77777777" w:rsidR="00AE28E4" w:rsidRPr="00E540F3" w:rsidRDefault="00AE28E4" w:rsidP="00267611">
      <w:pPr>
        <w:pStyle w:val="Heading3"/>
      </w:pPr>
      <w:bookmarkStart w:id="15" w:name="_Toc183591320"/>
      <w:r w:rsidRPr="00E540F3">
        <w:t>MJERA 4. - OTVORENOST I TRANSPARENTNOST HRVATSKOGA SABORA</w:t>
      </w:r>
      <w:bookmarkEnd w:id="15"/>
    </w:p>
    <w:tbl>
      <w:tblPr>
        <w:tblW w:w="15446" w:type="dxa"/>
        <w:jc w:val="center"/>
        <w:tblLook w:val="04A0" w:firstRow="1" w:lastRow="0" w:firstColumn="1" w:lastColumn="0" w:noHBand="0" w:noVBand="1"/>
      </w:tblPr>
      <w:tblGrid>
        <w:gridCol w:w="1980"/>
        <w:gridCol w:w="2126"/>
        <w:gridCol w:w="2693"/>
        <w:gridCol w:w="2552"/>
        <w:gridCol w:w="2977"/>
        <w:gridCol w:w="3118"/>
      </w:tblGrid>
      <w:tr w:rsidR="00880D3A" w:rsidRPr="0033148D" w14:paraId="6023BDBB" w14:textId="77777777" w:rsidTr="000E38BD">
        <w:trPr>
          <w:trHeight w:val="70"/>
          <w:jc w:val="center"/>
        </w:trPr>
        <w:tc>
          <w:tcPr>
            <w:tcW w:w="1544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B92741" w14:textId="157BEE36" w:rsidR="00880D3A" w:rsidRPr="0033148D" w:rsidRDefault="00F355E7" w:rsidP="0033148D">
            <w:pPr>
              <w:spacing w:after="0" w:line="240" w:lineRule="auto"/>
              <w:jc w:val="center"/>
              <w:rPr>
                <w:rFonts w:ascii="Calibri" w:eastAsia="Times New Roman" w:hAnsi="Calibri" w:cs="Times New Roman"/>
                <w:b/>
                <w:bCs/>
                <w:color w:val="000000"/>
                <w:lang w:eastAsia="hr-HR"/>
              </w:rPr>
            </w:pPr>
            <w:r w:rsidRPr="0033148D">
              <w:rPr>
                <w:b/>
              </w:rPr>
              <w:t xml:space="preserve">Aktivnosti </w:t>
            </w:r>
            <w:r w:rsidR="00880D3A" w:rsidRPr="0033148D">
              <w:rPr>
                <w:rFonts w:ascii="Calibri" w:eastAsia="Times New Roman" w:hAnsi="Calibri" w:cs="Times New Roman"/>
                <w:b/>
                <w:bCs/>
                <w:color w:val="000000"/>
                <w:lang w:eastAsia="hr-HR"/>
              </w:rPr>
              <w:t>4.1. Održavati edukativne programe za učenike osnovnih škola,</w:t>
            </w:r>
            <w:r w:rsidRPr="0033148D">
              <w:rPr>
                <w:rFonts w:ascii="Calibri" w:eastAsia="Times New Roman" w:hAnsi="Calibri" w:cs="Times New Roman"/>
                <w:b/>
                <w:bCs/>
                <w:color w:val="000000"/>
                <w:lang w:eastAsia="hr-HR"/>
              </w:rPr>
              <w:t xml:space="preserve"> </w:t>
            </w:r>
            <w:r w:rsidR="00880D3A" w:rsidRPr="0033148D">
              <w:rPr>
                <w:rFonts w:ascii="Calibri" w:eastAsia="Times New Roman" w:hAnsi="Calibri" w:cs="Times New Roman"/>
                <w:b/>
                <w:bCs/>
                <w:color w:val="000000"/>
                <w:lang w:eastAsia="hr-HR"/>
              </w:rPr>
              <w:t>4.2. Održavati edukativne programe za učenike srednjih škola,</w:t>
            </w:r>
            <w:r w:rsidRPr="0033148D">
              <w:rPr>
                <w:rFonts w:ascii="Calibri" w:eastAsia="Times New Roman" w:hAnsi="Calibri" w:cs="Times New Roman"/>
                <w:b/>
                <w:bCs/>
                <w:color w:val="000000"/>
                <w:lang w:eastAsia="hr-HR"/>
              </w:rPr>
              <w:t xml:space="preserve"> </w:t>
            </w:r>
            <w:r w:rsidR="00880D3A" w:rsidRPr="0033148D">
              <w:rPr>
                <w:rFonts w:ascii="Calibri" w:eastAsia="Times New Roman" w:hAnsi="Calibri" w:cs="Times New Roman"/>
                <w:b/>
                <w:bCs/>
                <w:color w:val="000000"/>
                <w:lang w:eastAsia="hr-HR"/>
              </w:rPr>
              <w:t>4.3. Održavati edukativne programe za studente visokih učilišta</w:t>
            </w:r>
            <w:r w:rsidRPr="0033148D">
              <w:rPr>
                <w:rFonts w:ascii="Calibri" w:eastAsia="Times New Roman" w:hAnsi="Calibri" w:cs="Times New Roman"/>
                <w:b/>
                <w:bCs/>
                <w:color w:val="000000"/>
                <w:lang w:eastAsia="hr-HR"/>
              </w:rPr>
              <w:t xml:space="preserve"> i </w:t>
            </w:r>
            <w:r w:rsidR="00880D3A" w:rsidRPr="0033148D">
              <w:rPr>
                <w:rFonts w:ascii="Calibri" w:eastAsia="Times New Roman" w:hAnsi="Calibri" w:cs="Times New Roman"/>
                <w:b/>
                <w:bCs/>
                <w:color w:val="000000"/>
                <w:lang w:eastAsia="hr-HR"/>
              </w:rPr>
              <w:t>4.4. Održavati edukativne programe za građane</w:t>
            </w:r>
          </w:p>
        </w:tc>
      </w:tr>
      <w:tr w:rsidR="00880D3A" w:rsidRPr="0033148D" w14:paraId="6EF49328"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C9EEB18" w14:textId="1A44DD35" w:rsidR="00880D3A" w:rsidRPr="0033148D" w:rsidRDefault="0012200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ADBB3B" w14:textId="77777777" w:rsidR="00880D3A" w:rsidRPr="0033148D" w:rsidRDefault="00880D3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Hrvatski sabor</w:t>
            </w:r>
          </w:p>
        </w:tc>
      </w:tr>
      <w:tr w:rsidR="00880D3A" w:rsidRPr="0033148D" w14:paraId="76805162"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EB5195B" w14:textId="2AF37D7E" w:rsidR="00880D3A" w:rsidRPr="0033148D" w:rsidRDefault="00122006"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449A822A" w14:textId="1D6F237E" w:rsidR="00880D3A"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80D3A" w:rsidRPr="0033148D" w14:paraId="7E517678" w14:textId="77777777" w:rsidTr="000E38BD">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3BF0B6C"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325FA96"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230B29DB" w14:textId="77777777" w:rsidR="00880D3A" w:rsidRPr="0033148D" w:rsidRDefault="00880D3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Osnovne i srednje škole, fakulteti i visoke škole</w:t>
            </w:r>
          </w:p>
        </w:tc>
      </w:tr>
      <w:tr w:rsidR="00880D3A" w:rsidRPr="0033148D" w14:paraId="6C61264C" w14:textId="77777777" w:rsidTr="000E38BD">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63AD77A" w14:textId="77777777" w:rsidR="00880D3A" w:rsidRPr="0033148D" w:rsidRDefault="00880D3A"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6A691CCA"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5D82576F" w14:textId="50DA6008" w:rsidR="00880D3A"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80D3A" w:rsidRPr="0033148D" w14:paraId="51140E86"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A0F4CC4" w14:textId="6913F0D4" w:rsidR="00880D3A" w:rsidRPr="0033148D" w:rsidRDefault="00880D3A"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7800C860" w14:textId="51163A07" w:rsidR="00880D3A"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1. siječnja </w:t>
            </w:r>
            <w:r w:rsidR="00880D3A" w:rsidRPr="0033148D">
              <w:rPr>
                <w:rFonts w:ascii="Calibri" w:eastAsia="Times New Roman" w:hAnsi="Calibri" w:cs="Times New Roman"/>
                <w:color w:val="000000"/>
                <w:lang w:eastAsia="hr-HR"/>
              </w:rPr>
              <w:t>2023.</w:t>
            </w:r>
          </w:p>
        </w:tc>
      </w:tr>
      <w:tr w:rsidR="00880D3A" w:rsidRPr="0033148D" w14:paraId="62D96933"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354EA6B" w14:textId="231BC538" w:rsidR="00880D3A" w:rsidRPr="0033148D" w:rsidRDefault="00880D3A"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2BB1E636" w14:textId="187B7FED" w:rsidR="00880D3A" w:rsidRPr="0033148D" w:rsidRDefault="00880D3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w:t>
            </w:r>
            <w:r w:rsidR="007A144C" w:rsidRPr="0033148D">
              <w:rPr>
                <w:rFonts w:ascii="Calibri" w:eastAsia="Times New Roman" w:hAnsi="Calibri" w:cs="Times New Roman"/>
                <w:color w:val="000000"/>
                <w:lang w:eastAsia="hr-HR"/>
              </w:rPr>
              <w:t xml:space="preserve"> prosinca </w:t>
            </w:r>
            <w:r w:rsidRPr="0033148D">
              <w:rPr>
                <w:rFonts w:ascii="Calibri" w:eastAsia="Times New Roman" w:hAnsi="Calibri" w:cs="Times New Roman"/>
                <w:color w:val="000000"/>
                <w:lang w:eastAsia="hr-HR"/>
              </w:rPr>
              <w:t>2023.</w:t>
            </w:r>
          </w:p>
        </w:tc>
      </w:tr>
      <w:tr w:rsidR="00880D3A" w:rsidRPr="0033148D" w14:paraId="2B4D2357" w14:textId="77777777" w:rsidTr="000E38BD">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5E614A9" w14:textId="3AB7909B" w:rsidR="00880D3A" w:rsidRPr="0033148D" w:rsidRDefault="00880D3A"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tcPr>
          <w:p w14:paraId="723620FA" w14:textId="77777777" w:rsidR="00B633A5" w:rsidRPr="0033148D" w:rsidRDefault="00B633A5" w:rsidP="0033148D">
            <w:pPr>
              <w:pStyle w:val="ListParagraph"/>
              <w:numPr>
                <w:ilvl w:val="0"/>
                <w:numId w:val="20"/>
              </w:numPr>
              <w:spacing w:line="240" w:lineRule="auto"/>
            </w:pPr>
            <w:r w:rsidRPr="0033148D">
              <w:t xml:space="preserve">Provedene edukativne posjete učenika nižih razreda (3. i 4. r.) i učenika viših razreda (5., 6., 7. i 8. r.) </w:t>
            </w:r>
          </w:p>
          <w:p w14:paraId="219C06B1" w14:textId="77777777" w:rsidR="00B633A5" w:rsidRPr="0033148D" w:rsidRDefault="00B633A5" w:rsidP="0033148D">
            <w:pPr>
              <w:pStyle w:val="ListParagraph"/>
              <w:numPr>
                <w:ilvl w:val="0"/>
                <w:numId w:val="20"/>
              </w:numPr>
              <w:spacing w:line="240" w:lineRule="auto"/>
            </w:pPr>
            <w:r w:rsidRPr="0033148D">
              <w:t xml:space="preserve">Proveden online kviz za učenike 8. razreda osnovnih škola "Koliko poznaješ Hrvatski sabor?" </w:t>
            </w:r>
          </w:p>
          <w:p w14:paraId="79B96F1E" w14:textId="119C1036" w:rsidR="00B633A5" w:rsidRPr="0033148D" w:rsidRDefault="00B633A5" w:rsidP="0033148D">
            <w:pPr>
              <w:pStyle w:val="ListParagraph"/>
              <w:numPr>
                <w:ilvl w:val="0"/>
                <w:numId w:val="20"/>
              </w:numPr>
              <w:spacing w:line="240" w:lineRule="auto"/>
            </w:pPr>
            <w:r w:rsidRPr="0033148D">
              <w:t>Proveden natječaja za učenike 8. razreda osnovnih škola u pisanju eseja/zastupničkog govora na zadanu tem</w:t>
            </w:r>
            <w:r w:rsidR="00FA108A" w:rsidRPr="0033148D">
              <w:t>u</w:t>
            </w:r>
          </w:p>
          <w:p w14:paraId="59E8C24A" w14:textId="77777777" w:rsidR="00B633A5" w:rsidRPr="0033148D" w:rsidRDefault="00B633A5" w:rsidP="0033148D">
            <w:pPr>
              <w:pStyle w:val="ListParagraph"/>
              <w:numPr>
                <w:ilvl w:val="0"/>
                <w:numId w:val="20"/>
              </w:numPr>
              <w:spacing w:line="240" w:lineRule="auto"/>
            </w:pPr>
            <w:r w:rsidRPr="0033148D">
              <w:t xml:space="preserve">Provedene edukativne posjete Hrvatskome saboru koji, uz obilazak Sabora uz stručno vodstvo, uključuju i predavanje za učenike koje prati predmetne kurikulume, nazočnost sjednici Sabora sa galerije u Sabornici i mogućnost razgovora sa zastupnicima </w:t>
            </w:r>
          </w:p>
          <w:p w14:paraId="51727C67" w14:textId="77777777" w:rsidR="00B633A5" w:rsidRPr="0033148D" w:rsidRDefault="00B633A5" w:rsidP="0033148D">
            <w:pPr>
              <w:pStyle w:val="ListParagraph"/>
              <w:numPr>
                <w:ilvl w:val="0"/>
                <w:numId w:val="20"/>
              </w:numPr>
              <w:spacing w:line="240" w:lineRule="auto"/>
            </w:pPr>
            <w:r w:rsidRPr="0033148D">
              <w:t xml:space="preserve">Održan Simulirani parlamenti za učenike srednjih škola u Sabornici, uz stručnu potporu nastavnicima za pripremu simuliranog parlamenta učenika, na godišnjoj razini </w:t>
            </w:r>
          </w:p>
          <w:p w14:paraId="301B6E5C" w14:textId="77777777" w:rsidR="00B633A5" w:rsidRPr="0033148D" w:rsidRDefault="00B633A5" w:rsidP="0033148D">
            <w:pPr>
              <w:pStyle w:val="ListParagraph"/>
              <w:numPr>
                <w:ilvl w:val="0"/>
                <w:numId w:val="20"/>
              </w:numPr>
              <w:spacing w:line="240" w:lineRule="auto"/>
            </w:pPr>
            <w:r w:rsidRPr="0033148D">
              <w:t xml:space="preserve">Proveden online kviz natjecanje za učenike srednjih škola pod nazivom „Koliko poznaješ Hrvatski sabor?“, na godišnjoj razini </w:t>
            </w:r>
          </w:p>
          <w:p w14:paraId="27658B53" w14:textId="77777777" w:rsidR="00B633A5" w:rsidRPr="0033148D" w:rsidRDefault="00B633A5" w:rsidP="0033148D">
            <w:pPr>
              <w:pStyle w:val="ListParagraph"/>
              <w:numPr>
                <w:ilvl w:val="0"/>
                <w:numId w:val="20"/>
              </w:numPr>
              <w:spacing w:line="240" w:lineRule="auto"/>
            </w:pPr>
            <w:r w:rsidRPr="0033148D">
              <w:t>Proveden Natječaj u pisanju eseja ili zastupničkog govora na zadanu temu</w:t>
            </w:r>
          </w:p>
          <w:p w14:paraId="7D9EC910" w14:textId="77777777" w:rsidR="00B633A5" w:rsidRPr="0033148D" w:rsidRDefault="00B633A5" w:rsidP="0033148D">
            <w:pPr>
              <w:pStyle w:val="ListParagraph"/>
              <w:numPr>
                <w:ilvl w:val="0"/>
                <w:numId w:val="20"/>
              </w:numPr>
              <w:spacing w:line="240" w:lineRule="auto"/>
            </w:pPr>
            <w:r w:rsidRPr="0033148D">
              <w:t>Provedena predavanja za studente o ustroju, ovlastima i načinu rada Sabora i njegovih radnih tijela, klubova zastupnika, zakonodavnom postupku, pravima i obvezama zastupnika, zadaćama i načinu rada Sabora i njegovih radnih tijela u europskim poslovima i sl.</w:t>
            </w:r>
          </w:p>
          <w:p w14:paraId="4F9469D1" w14:textId="77777777" w:rsidR="00B633A5" w:rsidRPr="0033148D" w:rsidRDefault="00B633A5" w:rsidP="0033148D">
            <w:pPr>
              <w:pStyle w:val="ListParagraph"/>
              <w:numPr>
                <w:ilvl w:val="0"/>
                <w:numId w:val="20"/>
              </w:numPr>
              <w:spacing w:line="240" w:lineRule="auto"/>
            </w:pPr>
            <w:r w:rsidRPr="0033148D">
              <w:t>Održan simulirani parlament studenata u Sabornici.</w:t>
            </w:r>
          </w:p>
          <w:p w14:paraId="0BAC4C46" w14:textId="77777777" w:rsidR="00B633A5" w:rsidRPr="0033148D" w:rsidRDefault="00B633A5" w:rsidP="0033148D">
            <w:pPr>
              <w:pStyle w:val="ListParagraph"/>
              <w:numPr>
                <w:ilvl w:val="0"/>
                <w:numId w:val="20"/>
              </w:numPr>
              <w:spacing w:line="240" w:lineRule="auto"/>
            </w:pPr>
            <w:r w:rsidRPr="0033148D">
              <w:t>Provedeni razgovori/tematske rasprave studenata sa zastupnicima - članovima saborskih odbora, na unaprijed dogovorenu temu, organiziranje predavanja na unaprijed dogovorenu temu koje drže predavači Službe za građane kao i predavači iz drugih stručnih službi Sabora</w:t>
            </w:r>
          </w:p>
          <w:p w14:paraId="757BD952" w14:textId="6F59D5B5" w:rsidR="00880D3A" w:rsidRPr="0033148D" w:rsidRDefault="00B633A5" w:rsidP="0033148D">
            <w:pPr>
              <w:pStyle w:val="ListParagraph"/>
              <w:spacing w:line="240" w:lineRule="auto"/>
              <w:rPr>
                <w:lang w:eastAsia="hr-HR"/>
              </w:rPr>
            </w:pPr>
            <w:r w:rsidRPr="0033148D">
              <w:t>Provedene edukativne radionice za građane o različitim temama i mogućnostima sudjelovanja u procesima donošenja odluka (npr. kako napisati predstavku ili prijedlog i kome predstavku ili prijedlog uputiti odnosno kojem radnom tijelu, ovisno o djelokrugu rada, kako napisati nacrt zakonskog prijedloga, kako sudjelovati u procesu savjetovanja s javnosti o nacrtima akata u postupku njihova donošenja kojima su predlagatelji saborski zastupnici, radna tijela te klubovi zastupnika).</w:t>
            </w:r>
          </w:p>
        </w:tc>
      </w:tr>
      <w:tr w:rsidR="00880D3A" w:rsidRPr="0033148D" w14:paraId="5D7607EF" w14:textId="77777777" w:rsidTr="000E38BD">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6BC45D5" w14:textId="50CD4719" w:rsidR="00880D3A" w:rsidRPr="0033148D" w:rsidRDefault="00880D3A"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CFDC37"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343FE9AC"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12F42E19"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118" w:type="dxa"/>
            <w:tcBorders>
              <w:top w:val="single" w:sz="4" w:space="0" w:color="auto"/>
              <w:left w:val="nil"/>
              <w:bottom w:val="single" w:sz="4" w:space="0" w:color="auto"/>
              <w:right w:val="single" w:sz="4" w:space="0" w:color="auto"/>
            </w:tcBorders>
            <w:shd w:val="clear" w:color="000000" w:fill="F2F2F2"/>
            <w:vAlign w:val="center"/>
            <w:hideMark/>
          </w:tcPr>
          <w:p w14:paraId="3C993AEA" w14:textId="77777777" w:rsidR="00880D3A" w:rsidRPr="0033148D" w:rsidRDefault="00880D3A"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80D3A" w:rsidRPr="0033148D" w14:paraId="1A85204D" w14:textId="77777777" w:rsidTr="000E38BD">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141B4F5E" w14:textId="77777777" w:rsidR="00880D3A" w:rsidRPr="0033148D" w:rsidRDefault="00880D3A"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6C08011" w14:textId="77777777" w:rsidR="00880D3A" w:rsidRPr="0033148D" w:rsidRDefault="00880D3A"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51FE11D9" w14:textId="77777777" w:rsidR="00880D3A" w:rsidRPr="0033148D" w:rsidRDefault="00880D3A" w:rsidP="0033148D">
            <w:pPr>
              <w:spacing w:after="0" w:line="240" w:lineRule="auto"/>
              <w:jc w:val="center"/>
              <w:rPr>
                <w:rFonts w:ascii="Calibri" w:eastAsia="Times New Roman" w:hAnsi="Calibri" w:cs="Times New Roman"/>
                <w:color w:val="000000"/>
                <w:lang w:eastAsia="hr-HR"/>
              </w:rPr>
            </w:pPr>
          </w:p>
        </w:tc>
        <w:tc>
          <w:tcPr>
            <w:tcW w:w="2977" w:type="dxa"/>
            <w:tcBorders>
              <w:top w:val="nil"/>
              <w:left w:val="nil"/>
              <w:bottom w:val="single" w:sz="4" w:space="0" w:color="auto"/>
              <w:right w:val="single" w:sz="4" w:space="0" w:color="auto"/>
            </w:tcBorders>
            <w:shd w:val="clear" w:color="auto" w:fill="auto"/>
            <w:noWrap/>
            <w:vAlign w:val="center"/>
            <w:hideMark/>
          </w:tcPr>
          <w:p w14:paraId="1AFF8D79" w14:textId="77777777" w:rsidR="00880D3A" w:rsidRPr="0033148D" w:rsidRDefault="00880D3A" w:rsidP="0033148D">
            <w:pPr>
              <w:spacing w:after="0" w:line="240" w:lineRule="auto"/>
              <w:jc w:val="center"/>
              <w:rPr>
                <w:rFonts w:ascii="Calibri" w:eastAsia="Times New Roman" w:hAnsi="Calibri" w:cs="Times New Roman"/>
                <w:color w:val="000000"/>
                <w:lang w:eastAsia="hr-HR"/>
              </w:rPr>
            </w:pPr>
          </w:p>
        </w:tc>
        <w:tc>
          <w:tcPr>
            <w:tcW w:w="3118" w:type="dxa"/>
            <w:tcBorders>
              <w:top w:val="nil"/>
              <w:left w:val="nil"/>
              <w:bottom w:val="single" w:sz="4" w:space="0" w:color="auto"/>
              <w:right w:val="single" w:sz="4" w:space="0" w:color="auto"/>
            </w:tcBorders>
            <w:shd w:val="clear" w:color="auto" w:fill="A8D08D" w:themeFill="accent6" w:themeFillTint="99"/>
            <w:noWrap/>
            <w:vAlign w:val="center"/>
            <w:hideMark/>
          </w:tcPr>
          <w:p w14:paraId="58E3140D" w14:textId="77777777" w:rsidR="00880D3A" w:rsidRPr="0033148D" w:rsidRDefault="00880D3A"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80D3A" w:rsidRPr="0033148D" w14:paraId="6B00D8FE" w14:textId="77777777" w:rsidTr="000E38BD">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0034DAD5" w14:textId="2F0EB941" w:rsidR="00880D3A" w:rsidRPr="0033148D" w:rsidRDefault="00880D3A"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Izmjene aktivnosti:</w:t>
            </w:r>
          </w:p>
        </w:tc>
        <w:tc>
          <w:tcPr>
            <w:tcW w:w="11340" w:type="dxa"/>
            <w:gridSpan w:val="4"/>
            <w:tcBorders>
              <w:top w:val="nil"/>
              <w:left w:val="nil"/>
              <w:bottom w:val="single" w:sz="4" w:space="0" w:color="auto"/>
              <w:right w:val="single" w:sz="4" w:space="0" w:color="auto"/>
            </w:tcBorders>
            <w:shd w:val="clear" w:color="auto" w:fill="auto"/>
            <w:noWrap/>
            <w:vAlign w:val="center"/>
          </w:tcPr>
          <w:p w14:paraId="06BBBAFB" w14:textId="56675EDF" w:rsidR="00880D3A" w:rsidRPr="0033148D" w:rsidRDefault="004B7C5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color w:val="000000"/>
                <w:lang w:eastAsia="hr-HR"/>
              </w:rPr>
              <w:t>Nije bilo</w:t>
            </w:r>
            <w:r w:rsidR="007A144C" w:rsidRPr="0033148D">
              <w:rPr>
                <w:rFonts w:ascii="Calibri" w:eastAsia="Times New Roman" w:hAnsi="Calibri" w:cs="Times New Roman"/>
                <w:color w:val="000000"/>
                <w:lang w:eastAsia="hr-HR"/>
              </w:rPr>
              <w:t xml:space="preserve"> izmjena.</w:t>
            </w:r>
          </w:p>
        </w:tc>
      </w:tr>
      <w:tr w:rsidR="00880D3A" w:rsidRPr="0033148D" w14:paraId="47349341" w14:textId="77777777" w:rsidTr="000E38BD">
        <w:trPr>
          <w:trHeight w:val="155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A917E21" w14:textId="227BC89A" w:rsidR="00880D3A" w:rsidRPr="0033148D" w:rsidRDefault="00880D3A" w:rsidP="00B6073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A077E7" w14:textId="77777777" w:rsidR="007849DC" w:rsidRPr="0033148D" w:rsidRDefault="007849DC" w:rsidP="00E60FCA">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Tijekom izvještajnog razdoblja realizirana su tri edukativna projekta o Saboru za učenike osnovnih i srednjih škola koji su se održali tijekom proljeća 2023. godine</w:t>
            </w:r>
            <w:r w:rsidRPr="0033148D">
              <w:t xml:space="preserve">. </w:t>
            </w:r>
            <w:r w:rsidRPr="0033148D">
              <w:rPr>
                <w:rFonts w:ascii="Calibri" w:eastAsia="Times New Roman" w:hAnsi="Calibri" w:cs="Times New Roman"/>
                <w:color w:val="000000"/>
                <w:lang w:eastAsia="hr-HR"/>
              </w:rPr>
              <w:t>Riječ je o online kviz natjecanjima „Koliko poznaješ Hrvatski sabor?“ za učenike osnovnih i srednjih škola te o 10. simuliranoj sjednici Sabora za učenike srednjih škola koja se održala u Sabornici. Povodom obilježavanja Dana Hrvatskoga sabora 8. listopada organiziran je Dan otvorenih vrata Sabora, u subotu, 7. listopada 2023. Također, Hrvatski sabor su kroz izvještajno razdoblje posjećivali i brojni hrvatski građani, strani studenti u cilju edukacije tijekom njihovog boravka u Hrvatskoj, te strani državljani u pojedinačnim ili grupnim posjetima.</w:t>
            </w:r>
          </w:p>
          <w:p w14:paraId="5924B06F" w14:textId="77777777" w:rsidR="00880D3A" w:rsidRPr="0033148D" w:rsidRDefault="00880D3A" w:rsidP="00E60FCA">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sva tri edukativna projekta za učenike osnovnih i srednjih škola sudjelovalo je</w:t>
            </w:r>
            <w:r w:rsidR="00DF2C05" w:rsidRPr="0033148D">
              <w:rPr>
                <w:rFonts w:ascii="Calibri" w:eastAsia="Times New Roman" w:hAnsi="Calibri" w:cs="Times New Roman"/>
                <w:color w:val="000000"/>
                <w:lang w:eastAsia="hr-HR"/>
              </w:rPr>
              <w:t xml:space="preserve"> </w:t>
            </w:r>
            <w:r w:rsidRPr="0033148D">
              <w:rPr>
                <w:rFonts w:ascii="Calibri" w:eastAsia="Times New Roman" w:hAnsi="Calibri" w:cs="Times New Roman"/>
                <w:color w:val="000000"/>
                <w:lang w:eastAsia="hr-HR"/>
              </w:rPr>
              <w:t>ukupno 435 učenika iz 135 osnovnih i srednjih škola i to 126 učenika iz 42 osnovne škole i 309 učenika iz 93 srednje škole diljem Hrvatske.</w:t>
            </w:r>
          </w:p>
          <w:p w14:paraId="6F917228" w14:textId="77777777" w:rsidR="00880D3A" w:rsidRPr="0033148D" w:rsidRDefault="00880D3A" w:rsidP="00E60FCA">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Hrvatski sabor je posjetilo, razgledalo i poslušalo predavanje o Saboru ukupno </w:t>
            </w:r>
            <w:r w:rsidRPr="0033148D">
              <w:rPr>
                <w:rFonts w:ascii="Calibri" w:eastAsia="Times New Roman" w:hAnsi="Calibri" w:cs="Times New Roman"/>
                <w:color w:val="000000"/>
                <w:lang w:eastAsia="hr-HR"/>
              </w:rPr>
              <w:softHyphen/>
              <w:t>16.127 građana u 437 organiziranih skupina, a 9.900 građana prisustvovalo je i nekoj od sjednica Sabora. Od tog ukupnog broja, najveći broj posjetitelja Hrvatskome saboru činili su učenici osnovnih škola - njih ukupno 6.740, u 161 organiziranih grupa iz 128 osnovnih škola diljem Republike Hrvatske</w:t>
            </w:r>
            <w:r w:rsidR="001A78EF" w:rsidRPr="0033148D">
              <w:rPr>
                <w:rFonts w:ascii="Calibri" w:eastAsia="Times New Roman" w:hAnsi="Calibri" w:cs="Times New Roman"/>
                <w:color w:val="000000"/>
                <w:lang w:eastAsia="hr-HR"/>
              </w:rPr>
              <w:t xml:space="preserve"> (aktivnost 4.1)</w:t>
            </w:r>
            <w:r w:rsidRPr="0033148D">
              <w:rPr>
                <w:rFonts w:ascii="Calibri" w:eastAsia="Times New Roman" w:hAnsi="Calibri" w:cs="Times New Roman"/>
                <w:color w:val="000000"/>
                <w:lang w:eastAsia="hr-HR"/>
              </w:rPr>
              <w:t>. Nakon osnovnoškolaca, sljedeći najbrojniji posjetitelji bili su učenici srednjih škola: njih 6.340 u 172 organizirane grupe iz 163 srednjih škola</w:t>
            </w:r>
            <w:r w:rsidR="001A78EF" w:rsidRPr="0033148D">
              <w:rPr>
                <w:rFonts w:ascii="Calibri" w:eastAsia="Times New Roman" w:hAnsi="Calibri" w:cs="Times New Roman"/>
                <w:color w:val="000000"/>
                <w:lang w:eastAsia="hr-HR"/>
              </w:rPr>
              <w:t xml:space="preserve"> (aktivnost 4.2</w:t>
            </w:r>
            <w:r w:rsidRPr="0033148D">
              <w:rPr>
                <w:rFonts w:ascii="Calibri" w:eastAsia="Times New Roman" w:hAnsi="Calibri" w:cs="Times New Roman"/>
                <w:color w:val="000000"/>
                <w:lang w:eastAsia="hr-HR"/>
              </w:rPr>
              <w:t>. Također, Hrvatski sabor su u 2023. godini posjećivali i studenti hrvatskih i inozemnih sveučilišta kao i visokih škola - njih 945 u 26 organiziranih grupa</w:t>
            </w:r>
            <w:r w:rsidR="001A78EF" w:rsidRPr="0033148D">
              <w:rPr>
                <w:rFonts w:ascii="Calibri" w:eastAsia="Times New Roman" w:hAnsi="Calibri" w:cs="Times New Roman"/>
                <w:color w:val="000000"/>
                <w:lang w:eastAsia="hr-HR"/>
              </w:rPr>
              <w:t xml:space="preserve"> (aktivnost 4.3)</w:t>
            </w:r>
            <w:r w:rsidRPr="0033148D">
              <w:rPr>
                <w:rFonts w:ascii="Calibri" w:eastAsia="Times New Roman" w:hAnsi="Calibri" w:cs="Times New Roman"/>
                <w:color w:val="000000"/>
                <w:lang w:eastAsia="hr-HR"/>
              </w:rPr>
              <w:t>. Stranih posjetitelja iz svih kategorija bilo je ukupno 1.160 u 48 organiziranih skupina, a tu se ponajprije radilo o stranim studentima u cilju edukacije tijekom njihovog boravka u Hrvatskoj, te o drugim kategorijama stranih državljana u pojedinačnim ili grupnim posjetima Hrvatskom saboru. Uz to, Služba za građane je povodom obilježavanja Dana Hrvatskoga sabora 8. listopada organizirala Dan otvorenih vrata Sabora u subotu 7. listopada 2023. godine. Ova manifestacija je okupila velik broj posjetitelja svih dobnih skupina iz cijele Hrvatske, ali i iz inozemstva, ukupno njih 867</w:t>
            </w:r>
            <w:r w:rsidR="001A78EF" w:rsidRPr="0033148D">
              <w:rPr>
                <w:rFonts w:ascii="Calibri" w:eastAsia="Times New Roman" w:hAnsi="Calibri" w:cs="Times New Roman"/>
                <w:color w:val="000000"/>
                <w:lang w:eastAsia="hr-HR"/>
              </w:rPr>
              <w:t xml:space="preserve"> (aktivnost 4.4)</w:t>
            </w:r>
            <w:r w:rsidRPr="0033148D">
              <w:rPr>
                <w:rFonts w:ascii="Calibri" w:eastAsia="Times New Roman" w:hAnsi="Calibri" w:cs="Times New Roman"/>
                <w:color w:val="000000"/>
                <w:lang w:eastAsia="hr-HR"/>
              </w:rPr>
              <w:t>.</w:t>
            </w:r>
          </w:p>
          <w:p w14:paraId="39D54E96" w14:textId="77777777" w:rsidR="00880D3A" w:rsidRPr="0033148D" w:rsidRDefault="00880D3A" w:rsidP="00E60FCA">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Ostvareni učinak aktivnosti je pozitivan; kontinuirano se održavaju edukativni programi za učenike i studente, a vezano za posjete Hrvatskom saboru, u usporedbi s 2022. godinom, sveukupni broj posjetitelja, te broj učenika i studenata kao posjetitelja Hrvatskom saboru, povećao se. </w:t>
            </w:r>
          </w:p>
        </w:tc>
      </w:tr>
      <w:tr w:rsidR="00880D3A" w:rsidRPr="0033148D" w14:paraId="35F19283" w14:textId="77777777" w:rsidTr="00E60FCA">
        <w:trPr>
          <w:trHeight w:val="79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8578CF" w14:textId="2C913EA8" w:rsidR="00880D3A" w:rsidRPr="0033148D" w:rsidRDefault="00880D3A"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6787371" w14:textId="77777777" w:rsidR="00880D3A" w:rsidRPr="0033148D" w:rsidRDefault="00880D3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2023. godini aktivnost je potpuno ostvarena te nije bilo rizika i izazova u provedbi.</w:t>
            </w:r>
          </w:p>
        </w:tc>
      </w:tr>
      <w:tr w:rsidR="00880D3A" w:rsidRPr="0033148D" w14:paraId="58AA2226" w14:textId="77777777" w:rsidTr="00362DB7">
        <w:trPr>
          <w:trHeight w:val="1193"/>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F8E8AFA" w14:textId="7F5048EE" w:rsidR="00880D3A" w:rsidRPr="0033148D" w:rsidRDefault="00880D3A" w:rsidP="00B6073A">
            <w:pPr>
              <w:spacing w:after="0" w:line="240" w:lineRule="auto"/>
              <w:rPr>
                <w:rFonts w:ascii="Calibri" w:eastAsia="Times New Roman" w:hAnsi="Calibri" w:cs="Times New Roman"/>
                <w:color w:val="000000"/>
                <w:lang w:eastAsia="hr-HR"/>
              </w:rPr>
            </w:pPr>
            <w:r w:rsidRPr="0033148D">
              <w:rPr>
                <w:b/>
                <w:bCs/>
                <w:lang w:eastAsia="hr-HR"/>
              </w:rPr>
              <w:t>Sljedeći koraci</w:t>
            </w:r>
            <w:r w:rsidR="00B6073A">
              <w:rPr>
                <w:b/>
                <w:bCs/>
                <w:lang w:eastAsia="hr-HR"/>
              </w:rPr>
              <w:t>:</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A76550F" w14:textId="6DA57F05" w:rsidR="00880D3A" w:rsidRPr="0033148D" w:rsidRDefault="000E38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Sve planirane aktivnosti do datuma završetka provedbe mjere, 31. prosinca 2023. su bile nastavljene</w:t>
            </w:r>
            <w:r w:rsidRPr="0033148D">
              <w:rPr>
                <w:rFonts w:ascii="Calibri" w:eastAsia="Times New Roman" w:hAnsi="Calibri" w:cs="Times New Roman"/>
                <w:lang w:eastAsia="hr-HR"/>
              </w:rPr>
              <w:t>. Služba za građane Hrvatskoga sabora je 28. rujna 2023. godine objavila na web stranicama Sabora pozive učenicima osnovnih i srednjih škola za sudjelovanje u trima edukativnim programima Sabora u školskoj godini 2023./2024., koji su se održali u proljeće 2024. godine.</w:t>
            </w:r>
          </w:p>
        </w:tc>
      </w:tr>
    </w:tbl>
    <w:p w14:paraId="11ECF5C2" w14:textId="77777777" w:rsidR="00880D3A" w:rsidRPr="0033148D" w:rsidRDefault="00880D3A" w:rsidP="0033148D">
      <w:pPr>
        <w:spacing w:line="240" w:lineRule="auto"/>
      </w:pPr>
    </w:p>
    <w:p w14:paraId="4A9CC0CF" w14:textId="77777777" w:rsidR="002E597E" w:rsidRPr="00E540F3" w:rsidRDefault="002E597E" w:rsidP="00267611">
      <w:pPr>
        <w:pStyle w:val="Heading3"/>
      </w:pPr>
      <w:bookmarkStart w:id="16" w:name="_Toc183591321"/>
      <w:r w:rsidRPr="00E540F3">
        <w:lastRenderedPageBreak/>
        <w:t>MJERA 5. - UNAPRJEĐENJE TRANSPARENTNOSTI I FINANCIRANJA REFERENDUMSKE AKTIVNOSTI</w:t>
      </w:r>
      <w:bookmarkEnd w:id="16"/>
    </w:p>
    <w:tbl>
      <w:tblPr>
        <w:tblW w:w="15163" w:type="dxa"/>
        <w:jc w:val="center"/>
        <w:tblLook w:val="04A0" w:firstRow="1" w:lastRow="0" w:firstColumn="1" w:lastColumn="0" w:noHBand="0" w:noVBand="1"/>
      </w:tblPr>
      <w:tblGrid>
        <w:gridCol w:w="1980"/>
        <w:gridCol w:w="2126"/>
        <w:gridCol w:w="2693"/>
        <w:gridCol w:w="2694"/>
        <w:gridCol w:w="2835"/>
        <w:gridCol w:w="2835"/>
      </w:tblGrid>
      <w:tr w:rsidR="00CB04BD" w:rsidRPr="0033148D" w14:paraId="23560DD1" w14:textId="77777777" w:rsidTr="00B6073A">
        <w:trPr>
          <w:trHeight w:val="431"/>
          <w:jc w:val="center"/>
        </w:trPr>
        <w:tc>
          <w:tcPr>
            <w:tcW w:w="15163" w:type="dxa"/>
            <w:gridSpan w:val="6"/>
            <w:tcBorders>
              <w:top w:val="single" w:sz="4" w:space="0" w:color="auto"/>
              <w:left w:val="single" w:sz="4" w:space="0" w:color="auto"/>
              <w:right w:val="single" w:sz="4" w:space="0" w:color="000000"/>
            </w:tcBorders>
            <w:shd w:val="clear" w:color="000000" w:fill="F2F2F2"/>
            <w:vAlign w:val="center"/>
          </w:tcPr>
          <w:p w14:paraId="0B4CFB6C" w14:textId="41637616" w:rsidR="00CB04BD" w:rsidRPr="0033148D" w:rsidRDefault="00F355E7" w:rsidP="0033148D">
            <w:pPr>
              <w:spacing w:after="0" w:line="240" w:lineRule="auto"/>
              <w:jc w:val="center"/>
              <w:rPr>
                <w:rFonts w:ascii="Calibri" w:eastAsia="Times New Roman" w:hAnsi="Calibri" w:cs="Times New Roman"/>
                <w:color w:val="000000"/>
                <w:lang w:eastAsia="hr-HR"/>
              </w:rPr>
            </w:pPr>
            <w:r w:rsidRPr="0033148D">
              <w:rPr>
                <w:b/>
              </w:rPr>
              <w:t xml:space="preserve">Aktivnost </w:t>
            </w:r>
            <w:r w:rsidR="00CB04BD" w:rsidRPr="0033148D">
              <w:rPr>
                <w:rFonts w:ascii="Calibri" w:eastAsia="Times New Roman" w:hAnsi="Calibri" w:cs="Times New Roman"/>
                <w:b/>
                <w:bCs/>
                <w:color w:val="000000"/>
                <w:lang w:eastAsia="hr-HR"/>
              </w:rPr>
              <w:t>5.1. Provoditi edukaciju sudionika referendumske aktivnosti s ciljem jačanja transparentnosti financiranja referendumske aktivnosti</w:t>
            </w:r>
          </w:p>
        </w:tc>
      </w:tr>
      <w:tr w:rsidR="00CB04BD" w:rsidRPr="0033148D" w14:paraId="53FA6B5C"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A33799D" w14:textId="220BBA49" w:rsidR="00CB04BD" w:rsidRPr="0033148D" w:rsidRDefault="0012200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CD3F18"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Republike Hrvatske</w:t>
            </w:r>
          </w:p>
        </w:tc>
      </w:tr>
      <w:tr w:rsidR="00CB04BD" w:rsidRPr="0033148D" w14:paraId="35623C2B"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584CA67" w14:textId="3AE38ADD" w:rsidR="00CB04BD" w:rsidRPr="0033148D" w:rsidRDefault="00122006"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525581D2" w14:textId="43C11A97"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446571FF" w14:textId="77777777" w:rsidTr="004B7C5E">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4AB0029"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7F31E3C1"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37FB7287" w14:textId="7582B813"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566D36D1" w14:textId="77777777" w:rsidTr="004B7C5E">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02D30C06"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7580E11F"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C496323" w14:textId="44DED4B3"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2DE5492F"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F0737F2" w14:textId="14A25C86" w:rsidR="00CB04BD" w:rsidRPr="0033148D" w:rsidRDefault="00CB04BD"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2FA0D83" w14:textId="77777777" w:rsidR="00CB04BD" w:rsidRPr="0033148D" w:rsidRDefault="009C1BA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l</w:t>
            </w:r>
            <w:r w:rsidR="00CB04BD" w:rsidRPr="0033148D">
              <w:rPr>
                <w:rFonts w:ascii="Calibri" w:eastAsia="Times New Roman" w:hAnsi="Calibri" w:cs="Times New Roman"/>
                <w:color w:val="000000"/>
                <w:lang w:eastAsia="hr-HR"/>
              </w:rPr>
              <w:t>istopad 2023.</w:t>
            </w:r>
          </w:p>
        </w:tc>
      </w:tr>
      <w:tr w:rsidR="00CB04BD" w:rsidRPr="0033148D" w14:paraId="115567B8"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CC280F5" w14:textId="0C700D69" w:rsidR="00CB04BD" w:rsidRPr="0033148D" w:rsidRDefault="00CB04BD"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3CD9F9EA" w14:textId="77777777" w:rsidR="00CB04BD" w:rsidRPr="0033148D" w:rsidRDefault="009C1BA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CB04BD" w:rsidRPr="0033148D">
              <w:rPr>
                <w:rFonts w:ascii="Calibri" w:eastAsia="Times New Roman" w:hAnsi="Calibri" w:cs="Times New Roman"/>
                <w:color w:val="000000"/>
                <w:lang w:eastAsia="hr-HR"/>
              </w:rPr>
              <w:t>rosinac 2023.</w:t>
            </w:r>
          </w:p>
        </w:tc>
      </w:tr>
      <w:tr w:rsidR="00CB04BD" w:rsidRPr="0033148D" w14:paraId="0C3B5DF3" w14:textId="77777777" w:rsidTr="00E60FCA">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5E18820" w14:textId="6F79D771" w:rsidR="00CB04BD" w:rsidRPr="0033148D" w:rsidRDefault="003C1AC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83033AE"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Izrađena i na mrežnim stranicama Državnog izbornog povjerenstva objavljena on-line edukacija namijenjena sudionicima referendumske aktivnosti.</w:t>
            </w:r>
          </w:p>
        </w:tc>
      </w:tr>
      <w:tr w:rsidR="00CB04BD" w:rsidRPr="0033148D" w14:paraId="50107128" w14:textId="77777777" w:rsidTr="00E60FCA">
        <w:trPr>
          <w:trHeight w:val="718"/>
          <w:jc w:val="center"/>
        </w:trPr>
        <w:tc>
          <w:tcPr>
            <w:tcW w:w="410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18BF3E57" w14:textId="5C277D36" w:rsidR="00CB04BD" w:rsidRPr="0033148D" w:rsidRDefault="00CB04B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73C09"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25571A76"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199ED7A4"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7DC37FF2"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CB04BD" w:rsidRPr="0033148D" w14:paraId="010E51C8" w14:textId="77777777" w:rsidTr="00E60FCA">
        <w:trPr>
          <w:trHeight w:val="642"/>
          <w:jc w:val="center"/>
        </w:trPr>
        <w:tc>
          <w:tcPr>
            <w:tcW w:w="4106" w:type="dxa"/>
            <w:gridSpan w:val="2"/>
            <w:vMerge/>
            <w:tcBorders>
              <w:top w:val="single" w:sz="4" w:space="0" w:color="auto"/>
              <w:left w:val="single" w:sz="4" w:space="0" w:color="auto"/>
              <w:bottom w:val="single" w:sz="4" w:space="0" w:color="auto"/>
              <w:right w:val="single" w:sz="4" w:space="0" w:color="auto"/>
            </w:tcBorders>
            <w:vAlign w:val="center"/>
            <w:hideMark/>
          </w:tcPr>
          <w:p w14:paraId="21D1EA51"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6F6A7"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26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1143F"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729BD6"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283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28D1509D"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CB04BD" w:rsidRPr="0033148D" w14:paraId="538E7754" w14:textId="77777777" w:rsidTr="00B6073A">
        <w:trPr>
          <w:trHeight w:val="431"/>
          <w:jc w:val="center"/>
        </w:trPr>
        <w:tc>
          <w:tcPr>
            <w:tcW w:w="4106"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1D6428B8" w14:textId="63B9BC28" w:rsidR="00CB04BD" w:rsidRPr="0033148D" w:rsidRDefault="00CB04BD"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57" w:type="dxa"/>
            <w:gridSpan w:val="4"/>
            <w:tcBorders>
              <w:top w:val="single" w:sz="4" w:space="0" w:color="auto"/>
              <w:left w:val="nil"/>
              <w:bottom w:val="single" w:sz="4" w:space="0" w:color="auto"/>
              <w:right w:val="single" w:sz="4" w:space="0" w:color="auto"/>
            </w:tcBorders>
            <w:shd w:val="clear" w:color="auto" w:fill="auto"/>
            <w:noWrap/>
            <w:vAlign w:val="center"/>
          </w:tcPr>
          <w:p w14:paraId="267AE420" w14:textId="66F5C508" w:rsidR="00CB04BD" w:rsidRPr="0033148D" w:rsidRDefault="002F6E91"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Nije bilo izmjena.</w:t>
            </w:r>
          </w:p>
        </w:tc>
      </w:tr>
      <w:tr w:rsidR="00CB04BD" w:rsidRPr="0033148D" w14:paraId="4E4F313D" w14:textId="77777777" w:rsidTr="004B7C5E">
        <w:trPr>
          <w:trHeight w:val="23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B84AF97" w14:textId="7266EB59" w:rsidR="00CB04BD" w:rsidRPr="0033148D" w:rsidRDefault="00CB04BD" w:rsidP="00B6073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C50FC63" w14:textId="3688C837" w:rsidR="00CB04BD" w:rsidRPr="0033148D" w:rsidRDefault="00CB04BD" w:rsidP="0033148D">
            <w:pPr>
              <w:spacing w:after="0" w:line="240" w:lineRule="auto"/>
            </w:pPr>
            <w:r w:rsidRPr="0033148D">
              <w:rPr>
                <w:rFonts w:ascii="Calibri" w:eastAsia="Times New Roman" w:hAnsi="Calibri" w:cs="Times New Roman"/>
                <w:color w:val="000000"/>
                <w:lang w:eastAsia="hr-HR"/>
              </w:rPr>
              <w:t xml:space="preserve">Na mrežnim stranicama Državnog izbornog povjerenstva objavljena je on-line edukacija – vodič namijenjen sudionicima referendumske aktivnosti. Vodič je dostupan na poveznici: </w:t>
            </w:r>
            <w:hyperlink r:id="rId31" w:history="1">
              <w:r w:rsidRPr="0033148D">
                <w:rPr>
                  <w:color w:val="0000FF"/>
                  <w:u w:val="single"/>
                </w:rPr>
                <w:t>Vodič o financiranju referendumskih aktivnosti (izbori.hr)</w:t>
              </w:r>
            </w:hyperlink>
            <w:r w:rsidRPr="0033148D">
              <w:t xml:space="preserve"> .</w:t>
            </w:r>
          </w:p>
          <w:p w14:paraId="59EF3535" w14:textId="77777777" w:rsidR="00CB04BD" w:rsidRPr="0033148D" w:rsidRDefault="00CB04BD" w:rsidP="0033148D">
            <w:pPr>
              <w:spacing w:after="0" w:line="240" w:lineRule="auto"/>
            </w:pPr>
            <w:r w:rsidRPr="0033148D">
              <w:t>Postojeći vodič je ažuriran sukladno izmjenama pozitivno-pravnih propisa, odnosno činjenicom da je sa 1. siječnja 2023. valuta kuna zamijenjena valutom euro.</w:t>
            </w:r>
          </w:p>
          <w:p w14:paraId="48D92AE3"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t>Kako nije bilo drugih izmjena pozitivno-pravnih propisa, nije bilo potrebe za drugim izmjenama vodiča. Vodič je dostupan zainteresiranoj javnosti, te na jasan i pregledan način daje pregled prava i obveza organizacijskih odbora prilikom pripreme financiranja i provedbe financiranja referendumskih aktivnosti.</w:t>
            </w:r>
          </w:p>
        </w:tc>
      </w:tr>
      <w:tr w:rsidR="00CB04BD" w:rsidRPr="0033148D" w14:paraId="25A13613" w14:textId="77777777" w:rsidTr="00B6073A">
        <w:trPr>
          <w:trHeight w:val="485"/>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09E9AF2" w14:textId="6E8FCDA7" w:rsidR="00CB04BD" w:rsidRPr="0033148D" w:rsidRDefault="00CB04BD" w:rsidP="00B6073A">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FAB31C5" w14:textId="0EA3ED5A"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2030C3CA" w14:textId="77777777" w:rsidTr="00B6073A">
        <w:trPr>
          <w:trHeight w:val="549"/>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4A432C5" w14:textId="1B3E65CC" w:rsidR="00CB04BD" w:rsidRPr="0033148D" w:rsidRDefault="00CB04BD" w:rsidP="00B6073A">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3C8E6E"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će nastaviti pratiti eventualne izmjene pozitivno-pravnih propisa te po potrebi provesti daljnje radnje na prilagodbi vodiča navedenom.</w:t>
            </w:r>
          </w:p>
        </w:tc>
      </w:tr>
    </w:tbl>
    <w:p w14:paraId="09D3EE35" w14:textId="77777777" w:rsidR="00CB04BD" w:rsidRPr="0033148D" w:rsidRDefault="00CB04BD" w:rsidP="0033148D">
      <w:pPr>
        <w:spacing w:line="240" w:lineRule="auto"/>
      </w:pPr>
    </w:p>
    <w:tbl>
      <w:tblPr>
        <w:tblW w:w="15163" w:type="dxa"/>
        <w:jc w:val="center"/>
        <w:tblLook w:val="04A0" w:firstRow="1" w:lastRow="0" w:firstColumn="1" w:lastColumn="0" w:noHBand="0" w:noVBand="1"/>
      </w:tblPr>
      <w:tblGrid>
        <w:gridCol w:w="1980"/>
        <w:gridCol w:w="2126"/>
        <w:gridCol w:w="2693"/>
        <w:gridCol w:w="2552"/>
        <w:gridCol w:w="2693"/>
        <w:gridCol w:w="3119"/>
      </w:tblGrid>
      <w:tr w:rsidR="00CB04BD" w:rsidRPr="0033148D" w14:paraId="5BC30D04" w14:textId="77777777" w:rsidTr="00B6073A">
        <w:trPr>
          <w:trHeight w:val="431"/>
          <w:jc w:val="center"/>
        </w:trPr>
        <w:tc>
          <w:tcPr>
            <w:tcW w:w="15163" w:type="dxa"/>
            <w:gridSpan w:val="6"/>
            <w:tcBorders>
              <w:top w:val="single" w:sz="4" w:space="0" w:color="auto"/>
              <w:left w:val="single" w:sz="4" w:space="0" w:color="auto"/>
              <w:right w:val="single" w:sz="4" w:space="0" w:color="000000"/>
            </w:tcBorders>
            <w:shd w:val="clear" w:color="000000" w:fill="F2F2F2"/>
            <w:vAlign w:val="center"/>
          </w:tcPr>
          <w:p w14:paraId="4421B254" w14:textId="29F0FB24" w:rsidR="00CB04BD" w:rsidRPr="0033148D" w:rsidRDefault="00F355E7" w:rsidP="0033148D">
            <w:pPr>
              <w:spacing w:after="0" w:line="240" w:lineRule="auto"/>
              <w:jc w:val="center"/>
              <w:rPr>
                <w:rFonts w:ascii="Calibri" w:eastAsia="Times New Roman" w:hAnsi="Calibri" w:cs="Times New Roman"/>
                <w:color w:val="000000"/>
                <w:lang w:eastAsia="hr-HR"/>
              </w:rPr>
            </w:pPr>
            <w:r w:rsidRPr="0033148D">
              <w:rPr>
                <w:b/>
              </w:rPr>
              <w:lastRenderedPageBreak/>
              <w:t xml:space="preserve">Aktivnost </w:t>
            </w:r>
            <w:r w:rsidR="00CB04BD" w:rsidRPr="0033148D">
              <w:rPr>
                <w:rFonts w:ascii="Calibri" w:eastAsia="Times New Roman" w:hAnsi="Calibri" w:cs="Times New Roman"/>
                <w:b/>
                <w:bCs/>
                <w:color w:val="000000"/>
                <w:lang w:eastAsia="hr-HR"/>
              </w:rPr>
              <w:t>5.2. Uspostava Evidencije referendumskih inicijativa</w:t>
            </w:r>
          </w:p>
        </w:tc>
      </w:tr>
      <w:tr w:rsidR="00CB04BD" w:rsidRPr="0033148D" w14:paraId="4615A9E7"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F851349" w14:textId="65B34D9B" w:rsidR="00CB04BD" w:rsidRPr="0033148D" w:rsidRDefault="003C1AC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F41B04F"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Republike Hrvatske</w:t>
            </w:r>
          </w:p>
        </w:tc>
      </w:tr>
      <w:tr w:rsidR="00CB04BD" w:rsidRPr="0033148D" w14:paraId="23019812"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00657A5" w14:textId="74DD6BC8" w:rsidR="00CB04BD" w:rsidRPr="0033148D" w:rsidRDefault="00CB04BD"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0E5D0E7D" w14:textId="2FD360F2"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2542FDF8" w14:textId="77777777" w:rsidTr="000E38BD">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F33B6B0"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DF43E86"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E0F8A8D" w14:textId="52742C2F"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781356A0" w14:textId="77777777" w:rsidTr="000E38BD">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615D628"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5EC585CF"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5AAB48C3" w14:textId="6F3E02F3" w:rsidR="00CB04B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78036F47"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9AA5EC9" w14:textId="77EC3471" w:rsidR="00CB04BD" w:rsidRPr="0033148D" w:rsidRDefault="00CB04B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08030C81" w14:textId="77777777" w:rsidR="00CB04BD" w:rsidRPr="0033148D" w:rsidRDefault="00E9052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1E930E9A"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5A3F439" w14:textId="3E5D29F2" w:rsidR="00CB04BD" w:rsidRPr="0033148D" w:rsidRDefault="00CB04B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7DDCE6E6" w14:textId="77777777" w:rsidR="00CB04BD" w:rsidRPr="0033148D" w:rsidRDefault="00E9052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35526FF0" w14:textId="77777777" w:rsidTr="00B6073A">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5E54A36" w14:textId="7B6FDFD3" w:rsidR="00CB04BD" w:rsidRPr="0033148D" w:rsidRDefault="003C1AC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85CA5D4"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Uspostavljena Evidencija referendumskih inicijativa i objavljena na mrežnim stranicama Državnog izbornog povjerenstva. </w:t>
            </w:r>
          </w:p>
        </w:tc>
      </w:tr>
      <w:tr w:rsidR="00CB04BD" w:rsidRPr="0033148D" w14:paraId="4C84CE21" w14:textId="77777777" w:rsidTr="000E38BD">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214F967" w14:textId="1AE7A13A" w:rsidR="00CB04BD" w:rsidRPr="0033148D" w:rsidRDefault="00CB04B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9B0AC80"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49D67A4C"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441EA09B"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119" w:type="dxa"/>
            <w:tcBorders>
              <w:top w:val="single" w:sz="4" w:space="0" w:color="auto"/>
              <w:left w:val="nil"/>
              <w:bottom w:val="single" w:sz="4" w:space="0" w:color="auto"/>
              <w:right w:val="single" w:sz="4" w:space="0" w:color="auto"/>
            </w:tcBorders>
            <w:shd w:val="clear" w:color="000000" w:fill="F2F2F2"/>
            <w:vAlign w:val="center"/>
            <w:hideMark/>
          </w:tcPr>
          <w:p w14:paraId="660442D5"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CB04BD" w:rsidRPr="0033148D" w14:paraId="25609387" w14:textId="77777777" w:rsidTr="000E38BD">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1DE49F48"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66BF5815" w14:textId="0A320269"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F7CAAC" w:themeFill="accent2" w:themeFillTint="66"/>
            <w:noWrap/>
            <w:vAlign w:val="center"/>
            <w:hideMark/>
          </w:tcPr>
          <w:p w14:paraId="55A3100B" w14:textId="03D38B2D" w:rsidR="00CB04BD" w:rsidRPr="0033148D" w:rsidRDefault="004769F4"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693" w:type="dxa"/>
            <w:tcBorders>
              <w:top w:val="nil"/>
              <w:left w:val="nil"/>
              <w:bottom w:val="single" w:sz="4" w:space="0" w:color="auto"/>
              <w:right w:val="single" w:sz="4" w:space="0" w:color="auto"/>
            </w:tcBorders>
            <w:shd w:val="clear" w:color="auto" w:fill="auto"/>
            <w:noWrap/>
            <w:vAlign w:val="center"/>
            <w:hideMark/>
          </w:tcPr>
          <w:p w14:paraId="6BAB5DD8"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3119" w:type="dxa"/>
            <w:tcBorders>
              <w:top w:val="nil"/>
              <w:left w:val="nil"/>
              <w:bottom w:val="single" w:sz="4" w:space="0" w:color="auto"/>
              <w:right w:val="single" w:sz="4" w:space="0" w:color="auto"/>
            </w:tcBorders>
            <w:shd w:val="clear" w:color="auto" w:fill="auto"/>
            <w:noWrap/>
            <w:vAlign w:val="center"/>
            <w:hideMark/>
          </w:tcPr>
          <w:p w14:paraId="283C1E3B"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r>
      <w:tr w:rsidR="00CB04BD" w:rsidRPr="0033148D" w14:paraId="590935D4" w14:textId="77777777" w:rsidTr="00CC1BD9">
        <w:trPr>
          <w:trHeight w:val="474"/>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05087092" w14:textId="2AD105F4" w:rsidR="00CB04BD" w:rsidRPr="0033148D" w:rsidRDefault="00CB04BD"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57" w:type="dxa"/>
            <w:gridSpan w:val="4"/>
            <w:tcBorders>
              <w:top w:val="nil"/>
              <w:left w:val="nil"/>
              <w:bottom w:val="single" w:sz="4" w:space="0" w:color="auto"/>
              <w:right w:val="single" w:sz="4" w:space="0" w:color="auto"/>
            </w:tcBorders>
            <w:shd w:val="clear" w:color="auto" w:fill="auto"/>
            <w:noWrap/>
            <w:vAlign w:val="center"/>
          </w:tcPr>
          <w:p w14:paraId="2FD3524E" w14:textId="61016D4E" w:rsidR="00CB04BD" w:rsidRPr="0033148D" w:rsidRDefault="003A3AF5"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Cs/>
                <w:color w:val="000000"/>
                <w:lang w:eastAsia="hr-HR"/>
              </w:rPr>
              <w:t>Nije bilo izmjena.</w:t>
            </w:r>
          </w:p>
        </w:tc>
      </w:tr>
      <w:tr w:rsidR="00CB04BD" w:rsidRPr="0033148D" w14:paraId="227B265C" w14:textId="77777777" w:rsidTr="00CC1BD9">
        <w:trPr>
          <w:trHeight w:val="81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162E865" w14:textId="7B57B275" w:rsidR="00CB04BD" w:rsidRPr="0033148D" w:rsidRDefault="00CB04BD"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7A577C" w14:textId="2D6ABB51" w:rsidR="00CB04BD" w:rsidRPr="0033148D" w:rsidRDefault="004769F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Mjera </w:t>
            </w:r>
            <w:r w:rsidR="00CB04BD" w:rsidRPr="0033148D">
              <w:rPr>
                <w:rFonts w:ascii="Calibri" w:eastAsia="Times New Roman" w:hAnsi="Calibri" w:cs="Times New Roman"/>
                <w:color w:val="000000"/>
                <w:lang w:eastAsia="hr-HR"/>
              </w:rPr>
              <w:t xml:space="preserve">je provedena </w:t>
            </w:r>
            <w:r w:rsidRPr="0033148D">
              <w:rPr>
                <w:rFonts w:ascii="Calibri" w:eastAsia="Times New Roman" w:hAnsi="Calibri" w:cs="Times New Roman"/>
                <w:color w:val="000000"/>
                <w:lang w:eastAsia="hr-HR"/>
              </w:rPr>
              <w:t xml:space="preserve">u manjoj mjeri </w:t>
            </w:r>
            <w:r w:rsidR="00CB04BD" w:rsidRPr="0033148D">
              <w:rPr>
                <w:rFonts w:ascii="Calibri" w:eastAsia="Times New Roman" w:hAnsi="Calibri" w:cs="Times New Roman"/>
                <w:color w:val="000000"/>
                <w:lang w:eastAsia="hr-HR"/>
              </w:rPr>
              <w:t xml:space="preserve">budući da u izvještajnom razdoblju nije bilo izmjena zakona kojim se propisuje provedba referenduma, a kojim bi se propisivao način uspostave i vođenja evidencije. </w:t>
            </w:r>
          </w:p>
        </w:tc>
      </w:tr>
      <w:tr w:rsidR="00CB04BD" w:rsidRPr="0033148D" w14:paraId="779C209A" w14:textId="77777777" w:rsidTr="00CC1BD9">
        <w:trPr>
          <w:trHeight w:val="4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1ADD216" w14:textId="34800A35" w:rsidR="00CB04BD" w:rsidRPr="0033148D" w:rsidRDefault="00CB04BD"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61663E" w14:textId="70FF4202" w:rsidR="00CB04BD" w:rsidRPr="0033148D" w:rsidRDefault="00881B55"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04967F3C" w14:textId="77777777" w:rsidTr="00CC1BD9">
        <w:trPr>
          <w:trHeight w:val="418"/>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B9BAA1C" w14:textId="3B627DA5" w:rsidR="00CB04BD" w:rsidRPr="0033148D" w:rsidRDefault="00CB04BD" w:rsidP="00CC1BD9">
            <w:pPr>
              <w:spacing w:after="0" w:line="240" w:lineRule="auto"/>
              <w:rPr>
                <w:rFonts w:ascii="Calibri" w:eastAsia="Times New Roman" w:hAnsi="Calibri" w:cs="Times New Roman"/>
                <w:color w:val="000000"/>
                <w:lang w:eastAsia="hr-HR"/>
              </w:rPr>
            </w:pPr>
            <w:r w:rsidRPr="0033148D">
              <w:rPr>
                <w:b/>
                <w:bCs/>
                <w:lang w:eastAsia="hr-HR"/>
              </w:rPr>
              <w:t xml:space="preserve">Sljedeći koraci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D9B8E1"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će nastaviti pratiti eventualne izmjene pozitivno-pravnih propisa te uspostaviti evidenciju sukladno navedenom.</w:t>
            </w:r>
          </w:p>
        </w:tc>
      </w:tr>
    </w:tbl>
    <w:p w14:paraId="1C9BDF11" w14:textId="77777777" w:rsidR="00CB04BD" w:rsidRPr="0033148D" w:rsidRDefault="00CB04BD" w:rsidP="0033148D">
      <w:pPr>
        <w:spacing w:line="240" w:lineRule="auto"/>
      </w:pPr>
    </w:p>
    <w:tbl>
      <w:tblPr>
        <w:tblW w:w="15163" w:type="dxa"/>
        <w:jc w:val="center"/>
        <w:tblLook w:val="04A0" w:firstRow="1" w:lastRow="0" w:firstColumn="1" w:lastColumn="0" w:noHBand="0" w:noVBand="1"/>
      </w:tblPr>
      <w:tblGrid>
        <w:gridCol w:w="1980"/>
        <w:gridCol w:w="2126"/>
        <w:gridCol w:w="2693"/>
        <w:gridCol w:w="2410"/>
        <w:gridCol w:w="2552"/>
        <w:gridCol w:w="3402"/>
      </w:tblGrid>
      <w:tr w:rsidR="00CB04BD" w:rsidRPr="0033148D" w14:paraId="3BAE2E2B" w14:textId="77777777" w:rsidTr="00CC1BD9">
        <w:trPr>
          <w:trHeight w:val="431"/>
          <w:jc w:val="center"/>
        </w:trPr>
        <w:tc>
          <w:tcPr>
            <w:tcW w:w="15163" w:type="dxa"/>
            <w:gridSpan w:val="6"/>
            <w:tcBorders>
              <w:top w:val="single" w:sz="4" w:space="0" w:color="auto"/>
              <w:left w:val="single" w:sz="4" w:space="0" w:color="auto"/>
              <w:right w:val="single" w:sz="4" w:space="0" w:color="000000"/>
            </w:tcBorders>
            <w:shd w:val="clear" w:color="000000" w:fill="F2F2F2"/>
            <w:vAlign w:val="center"/>
          </w:tcPr>
          <w:p w14:paraId="1DBB7618" w14:textId="1A70821E" w:rsidR="00CB04BD" w:rsidRPr="0033148D" w:rsidRDefault="00F355E7" w:rsidP="0033148D">
            <w:pPr>
              <w:spacing w:after="0" w:line="240" w:lineRule="auto"/>
              <w:jc w:val="both"/>
              <w:rPr>
                <w:rFonts w:ascii="Calibri" w:eastAsia="Times New Roman" w:hAnsi="Calibri" w:cs="Times New Roman"/>
                <w:b/>
                <w:bCs/>
                <w:color w:val="000000"/>
                <w:lang w:eastAsia="hr-HR"/>
              </w:rPr>
            </w:pPr>
            <w:r w:rsidRPr="0033148D">
              <w:rPr>
                <w:b/>
              </w:rPr>
              <w:t xml:space="preserve">Aktivnost </w:t>
            </w:r>
            <w:r w:rsidR="00CB04BD" w:rsidRPr="0033148D">
              <w:rPr>
                <w:rFonts w:ascii="Calibri" w:eastAsia="Times New Roman" w:hAnsi="Calibri" w:cs="Times New Roman"/>
                <w:b/>
                <w:bCs/>
                <w:color w:val="000000"/>
                <w:lang w:eastAsia="hr-HR"/>
              </w:rPr>
              <w:t xml:space="preserve">5.3. Provoditi edukaciju sudionika referendumske aktivnosti s ciljem upoznavanja sudionika s odredbama Zakona o financiranju </w:t>
            </w:r>
            <w:r w:rsidR="00362D93" w:rsidRPr="0033148D">
              <w:rPr>
                <w:rFonts w:ascii="Calibri" w:eastAsia="Times New Roman" w:hAnsi="Calibri" w:cs="Times New Roman"/>
                <w:b/>
                <w:bCs/>
                <w:color w:val="000000"/>
                <w:lang w:eastAsia="hr-HR"/>
              </w:rPr>
              <w:t>političkih aktivnosti, izborne promidžbe i referenduma</w:t>
            </w:r>
          </w:p>
        </w:tc>
      </w:tr>
      <w:tr w:rsidR="00CB04BD" w:rsidRPr="0033148D" w14:paraId="237DDE6F"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1BD9755" w14:textId="752ABD27" w:rsidR="00CB04BD" w:rsidRPr="0033148D" w:rsidRDefault="003C1AC6"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1638F51"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Republike Hrvatske</w:t>
            </w:r>
          </w:p>
        </w:tc>
      </w:tr>
      <w:tr w:rsidR="00CB04BD" w:rsidRPr="0033148D" w14:paraId="788B2039"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2717CAC" w14:textId="3892FCD1" w:rsidR="00CB04BD" w:rsidRPr="0033148D" w:rsidRDefault="00A20739"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6C89865" w14:textId="56E0C278" w:rsidR="00CB04BD"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0B1F56A0" w14:textId="77777777" w:rsidTr="00A35FD2">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C601A21"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DD71B5C"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0417B2E" w14:textId="61C70E2C" w:rsidR="00CB04BD"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1DEF0B0D" w14:textId="77777777" w:rsidTr="00A35FD2">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4C4AF378"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726B1709"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15FA950" w14:textId="12E7A1A2" w:rsidR="00CB04BD"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087C8294"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EE76F88" w14:textId="5F11B02E" w:rsidR="00CB04BD" w:rsidRPr="0033148D" w:rsidRDefault="00CB04BD"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FAE9AFC" w14:textId="2AC716D5" w:rsidR="00CB04BD"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2426576D"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6517D4D" w14:textId="655A919D" w:rsidR="00CB04BD" w:rsidRPr="0033148D" w:rsidRDefault="00CB04B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F40CDDC" w14:textId="57745D48" w:rsidR="00CB04BD"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6F4F5E80" w14:textId="77777777" w:rsidTr="00A35FD2">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56EFBD3" w14:textId="4C4D8A42" w:rsidR="00CB04BD" w:rsidRPr="0033148D" w:rsidRDefault="00CB04B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DBFB9FF"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Snimljeni i na mrežnim stranicama Državnog izbornog povjerenstva objavljeni </w:t>
            </w:r>
            <w:proofErr w:type="spellStart"/>
            <w:r w:rsidRPr="0033148D">
              <w:rPr>
                <w:rFonts w:ascii="Calibri" w:eastAsia="Times New Roman" w:hAnsi="Calibri" w:cs="Times New Roman"/>
                <w:color w:val="000000"/>
                <w:lang w:eastAsia="hr-HR"/>
              </w:rPr>
              <w:t>webinari</w:t>
            </w:r>
            <w:proofErr w:type="spellEnd"/>
            <w:r w:rsidRPr="0033148D">
              <w:rPr>
                <w:rFonts w:ascii="Calibri" w:eastAsia="Times New Roman" w:hAnsi="Calibri" w:cs="Times New Roman"/>
                <w:color w:val="000000"/>
                <w:lang w:eastAsia="hr-HR"/>
              </w:rPr>
              <w:t xml:space="preserve"> za sudionike referendumskih aktivnosti.</w:t>
            </w:r>
          </w:p>
        </w:tc>
      </w:tr>
      <w:tr w:rsidR="00CB04BD" w:rsidRPr="0033148D" w14:paraId="6AD025CA" w14:textId="77777777" w:rsidTr="00A35FD2">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9443317" w14:textId="7237DD40" w:rsidR="00CB04BD" w:rsidRPr="0033148D" w:rsidRDefault="00CB04BD" w:rsidP="00CC1BD9">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Stupanj provedenosti:</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68D478"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58ABD4A3"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3095146"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402" w:type="dxa"/>
            <w:tcBorders>
              <w:top w:val="single" w:sz="4" w:space="0" w:color="auto"/>
              <w:left w:val="nil"/>
              <w:bottom w:val="single" w:sz="4" w:space="0" w:color="auto"/>
              <w:right w:val="single" w:sz="4" w:space="0" w:color="auto"/>
            </w:tcBorders>
            <w:shd w:val="clear" w:color="000000" w:fill="F2F2F2"/>
            <w:vAlign w:val="center"/>
            <w:hideMark/>
          </w:tcPr>
          <w:p w14:paraId="277FBF07" w14:textId="77777777" w:rsidR="00CB04BD" w:rsidRPr="0033148D" w:rsidRDefault="00CB04B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CB04BD" w:rsidRPr="0033148D" w14:paraId="34D420D2" w14:textId="77777777" w:rsidTr="004769F4">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E46A3B4" w14:textId="77777777" w:rsidR="00CB04BD" w:rsidRPr="0033148D" w:rsidRDefault="00CB04B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7030AD5" w14:textId="7A19048C"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1AC34A13" w14:textId="20AD0B11" w:rsidR="00CB04BD" w:rsidRPr="0033148D" w:rsidRDefault="004769F4"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552" w:type="dxa"/>
            <w:tcBorders>
              <w:top w:val="nil"/>
              <w:left w:val="nil"/>
              <w:bottom w:val="single" w:sz="4" w:space="0" w:color="auto"/>
              <w:right w:val="single" w:sz="4" w:space="0" w:color="auto"/>
            </w:tcBorders>
            <w:shd w:val="clear" w:color="auto" w:fill="auto"/>
            <w:noWrap/>
            <w:vAlign w:val="center"/>
            <w:hideMark/>
          </w:tcPr>
          <w:p w14:paraId="50FD7353"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c>
          <w:tcPr>
            <w:tcW w:w="3402" w:type="dxa"/>
            <w:tcBorders>
              <w:top w:val="nil"/>
              <w:left w:val="nil"/>
              <w:bottom w:val="single" w:sz="4" w:space="0" w:color="auto"/>
              <w:right w:val="single" w:sz="4" w:space="0" w:color="auto"/>
            </w:tcBorders>
            <w:shd w:val="clear" w:color="auto" w:fill="auto"/>
            <w:noWrap/>
            <w:vAlign w:val="center"/>
            <w:hideMark/>
          </w:tcPr>
          <w:p w14:paraId="263E0860" w14:textId="77777777" w:rsidR="00CB04BD" w:rsidRPr="0033148D" w:rsidRDefault="00CB04BD" w:rsidP="0033148D">
            <w:pPr>
              <w:spacing w:after="0" w:line="240" w:lineRule="auto"/>
              <w:jc w:val="center"/>
              <w:rPr>
                <w:rFonts w:ascii="Calibri" w:eastAsia="Times New Roman" w:hAnsi="Calibri" w:cs="Times New Roman"/>
                <w:color w:val="000000"/>
                <w:lang w:eastAsia="hr-HR"/>
              </w:rPr>
            </w:pPr>
          </w:p>
        </w:tc>
      </w:tr>
      <w:tr w:rsidR="00CB04BD" w:rsidRPr="0033148D" w14:paraId="4655A0A1" w14:textId="77777777" w:rsidTr="00CC1BD9">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8FBD8E1" w14:textId="67B518E4" w:rsidR="00CB04BD" w:rsidRPr="0033148D" w:rsidRDefault="00CB04BD"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1057" w:type="dxa"/>
            <w:gridSpan w:val="4"/>
            <w:tcBorders>
              <w:top w:val="nil"/>
              <w:left w:val="nil"/>
              <w:bottom w:val="single" w:sz="4" w:space="0" w:color="auto"/>
              <w:right w:val="single" w:sz="4" w:space="0" w:color="auto"/>
            </w:tcBorders>
            <w:shd w:val="clear" w:color="auto" w:fill="auto"/>
            <w:noWrap/>
            <w:vAlign w:val="center"/>
          </w:tcPr>
          <w:p w14:paraId="00BBF93F" w14:textId="23117392" w:rsidR="00CB04BD" w:rsidRPr="0033148D" w:rsidRDefault="002F6E91"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Nije bilo izmjena.</w:t>
            </w:r>
          </w:p>
        </w:tc>
      </w:tr>
      <w:tr w:rsidR="00CB04BD" w:rsidRPr="0033148D" w14:paraId="1AF3124D" w14:textId="77777777" w:rsidTr="00362DB7">
        <w:trPr>
          <w:trHeight w:val="565"/>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0029E9" w14:textId="4B6C1B3E" w:rsidR="00CB04BD" w:rsidRPr="0033148D" w:rsidRDefault="00CB04BD"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54CAC0" w14:textId="45997275" w:rsidR="00CB04BD" w:rsidRPr="0033148D" w:rsidRDefault="00470B9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Mjera </w:t>
            </w:r>
            <w:r w:rsidR="00CB04BD" w:rsidRPr="0033148D">
              <w:rPr>
                <w:rFonts w:ascii="Calibri" w:eastAsia="Times New Roman" w:hAnsi="Calibri" w:cs="Times New Roman"/>
                <w:color w:val="000000"/>
                <w:lang w:eastAsia="hr-HR"/>
              </w:rPr>
              <w:t xml:space="preserve">je provedena </w:t>
            </w:r>
            <w:r w:rsidRPr="0033148D">
              <w:rPr>
                <w:rFonts w:ascii="Calibri" w:eastAsia="Times New Roman" w:hAnsi="Calibri" w:cs="Times New Roman"/>
                <w:color w:val="000000"/>
                <w:lang w:eastAsia="hr-HR"/>
              </w:rPr>
              <w:t xml:space="preserve">u manjoj mjeri </w:t>
            </w:r>
            <w:r w:rsidR="00CB04BD" w:rsidRPr="0033148D">
              <w:rPr>
                <w:rFonts w:ascii="Calibri" w:eastAsia="Times New Roman" w:hAnsi="Calibri" w:cs="Times New Roman"/>
                <w:color w:val="000000"/>
                <w:lang w:eastAsia="hr-HR"/>
              </w:rPr>
              <w:t xml:space="preserve">budući da u izvještajnom razdoblju nije bilo izmjena zakona kojim se propisuje priprema i provedba referenduma, a na osnovi kojih bi se pristupilo pripremi i objavi </w:t>
            </w:r>
            <w:proofErr w:type="spellStart"/>
            <w:r w:rsidR="00CB04BD" w:rsidRPr="0033148D">
              <w:rPr>
                <w:rFonts w:ascii="Calibri" w:eastAsia="Times New Roman" w:hAnsi="Calibri" w:cs="Times New Roman"/>
                <w:color w:val="000000"/>
                <w:lang w:eastAsia="hr-HR"/>
              </w:rPr>
              <w:t>webinara</w:t>
            </w:r>
            <w:proofErr w:type="spellEnd"/>
            <w:r w:rsidR="00CB04BD" w:rsidRPr="0033148D">
              <w:rPr>
                <w:rFonts w:ascii="Calibri" w:eastAsia="Times New Roman" w:hAnsi="Calibri" w:cs="Times New Roman"/>
                <w:color w:val="000000"/>
                <w:lang w:eastAsia="hr-HR"/>
              </w:rPr>
              <w:t xml:space="preserve">. </w:t>
            </w:r>
          </w:p>
        </w:tc>
      </w:tr>
      <w:tr w:rsidR="00CB04BD" w:rsidRPr="0033148D" w14:paraId="42359A15"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91918C3" w14:textId="662EC0E6" w:rsidR="00CB04BD" w:rsidRPr="0033148D" w:rsidRDefault="00CB04BD"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D7F743" w14:textId="77777777" w:rsidR="00CB04BD" w:rsidRPr="0033148D" w:rsidRDefault="00E9052A"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CB04BD" w:rsidRPr="0033148D" w14:paraId="0039F9B7" w14:textId="77777777" w:rsidTr="00CC1BD9">
        <w:trPr>
          <w:trHeight w:val="558"/>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65022E" w14:textId="4EC528C9" w:rsidR="00CB04BD" w:rsidRPr="0033148D" w:rsidRDefault="00CB04BD" w:rsidP="00CC1BD9">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115D6D" w14:textId="77777777" w:rsidR="00CB04BD" w:rsidRPr="0033148D" w:rsidRDefault="00CB04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Državno izborno povjerenstvo će nastaviti pratiti eventualne izmjene pozitivno-pravnih propisa te uspostaviti evidenciju sukladno navedenom.</w:t>
            </w:r>
          </w:p>
        </w:tc>
      </w:tr>
    </w:tbl>
    <w:p w14:paraId="4B2D9029" w14:textId="77777777" w:rsidR="00CB04BD" w:rsidRPr="0033148D" w:rsidRDefault="00CB04BD" w:rsidP="0033148D">
      <w:pPr>
        <w:spacing w:line="240" w:lineRule="auto"/>
      </w:pPr>
    </w:p>
    <w:p w14:paraId="5DC7F79F" w14:textId="61FB02DC" w:rsidR="002E597E" w:rsidRPr="00E540F3" w:rsidRDefault="002E597E" w:rsidP="00267611">
      <w:pPr>
        <w:pStyle w:val="Heading3"/>
      </w:pPr>
      <w:bookmarkStart w:id="17" w:name="_Toc183591322"/>
      <w:r w:rsidRPr="00E540F3">
        <w:t xml:space="preserve">MJERA 6 - UNAPRJEĐENJE TRANSPARENTNOSTI DJELOVANJA I FINANCIRANJA PROGRAMA I PROJEKATA </w:t>
      </w:r>
      <w:bookmarkStart w:id="18" w:name="_Toc80279187"/>
      <w:bookmarkStart w:id="19" w:name="_Toc80279499"/>
      <w:bookmarkStart w:id="20" w:name="_Toc80370160"/>
      <w:bookmarkStart w:id="21" w:name="_Toc80371132"/>
      <w:bookmarkStart w:id="22" w:name="_Toc95738540"/>
      <w:r w:rsidRPr="00E540F3">
        <w:t>ORGANIZACIJA CIVILNOGA DRUŠTVA</w:t>
      </w:r>
      <w:bookmarkEnd w:id="18"/>
      <w:bookmarkEnd w:id="19"/>
      <w:bookmarkEnd w:id="20"/>
      <w:bookmarkEnd w:id="21"/>
      <w:bookmarkEnd w:id="22"/>
      <w:bookmarkEnd w:id="17"/>
    </w:p>
    <w:tbl>
      <w:tblPr>
        <w:tblW w:w="15163" w:type="dxa"/>
        <w:jc w:val="center"/>
        <w:tblLook w:val="04A0" w:firstRow="1" w:lastRow="0" w:firstColumn="1" w:lastColumn="0" w:noHBand="0" w:noVBand="1"/>
      </w:tblPr>
      <w:tblGrid>
        <w:gridCol w:w="1980"/>
        <w:gridCol w:w="2126"/>
        <w:gridCol w:w="2693"/>
        <w:gridCol w:w="2694"/>
        <w:gridCol w:w="2693"/>
        <w:gridCol w:w="2977"/>
      </w:tblGrid>
      <w:tr w:rsidR="001F24E1" w:rsidRPr="0033148D" w14:paraId="5F082148" w14:textId="77777777" w:rsidTr="003C1AC6">
        <w:trPr>
          <w:trHeight w:val="70"/>
          <w:jc w:val="center"/>
        </w:trPr>
        <w:tc>
          <w:tcPr>
            <w:tcW w:w="15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32434BD"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b/>
              </w:rPr>
              <w:t>Aktivnost 6.1 – Izraditi novi informacijski sustav za praćenje i vrednovanje dodjele financijskih sredstava udrugama koje provode programe i/ili projekte od interesa za opće dobro</w:t>
            </w:r>
          </w:p>
        </w:tc>
      </w:tr>
      <w:tr w:rsidR="001F24E1" w:rsidRPr="0033148D" w14:paraId="546BC69F"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7FBB84" w14:textId="0E655E35"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49B9DB"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w:t>
            </w:r>
          </w:p>
        </w:tc>
      </w:tr>
      <w:tr w:rsidR="001F24E1" w:rsidRPr="0033148D" w14:paraId="5FEFB39E"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11E87D8" w14:textId="39B5F5ED" w:rsidR="001F24E1" w:rsidRPr="0033148D" w:rsidRDefault="00716EFE"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5B4E2509"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6B8EB2F0" w14:textId="77777777" w:rsidTr="00A35FD2">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9CA9D14"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3CF8B23A"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BDA2A1F" w14:textId="7DF8EC8D" w:rsidR="001F24E1" w:rsidRPr="0033148D" w:rsidRDefault="00A2073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0958D414" w14:textId="77777777" w:rsidTr="00A35FD2">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5C738C8F"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57E42F07"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7ECFAA7"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tvrtka APIS</w:t>
            </w:r>
          </w:p>
        </w:tc>
      </w:tr>
      <w:tr w:rsidR="001F24E1" w:rsidRPr="0033148D" w14:paraId="4C493E24"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C79FDF6" w14:textId="18169CB1"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4F10A2FA"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1F24E1" w:rsidRPr="0033148D" w14:paraId="1534DD9D"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605C23" w14:textId="61874D54"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BBB8D9E"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F24E1" w:rsidRPr="0033148D" w14:paraId="17EFB076" w14:textId="77777777" w:rsidTr="00A35FD2">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FCCDE2B" w14:textId="78708EFC" w:rsidR="001F24E1" w:rsidRPr="0033148D" w:rsidRDefault="00716EF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3173E459" w14:textId="77777777" w:rsidR="001F24E1" w:rsidRPr="0033148D" w:rsidRDefault="001F24E1" w:rsidP="0033148D">
            <w:pPr>
              <w:pStyle w:val="ListParagraph"/>
              <w:numPr>
                <w:ilvl w:val="0"/>
                <w:numId w:val="15"/>
              </w:numPr>
              <w:spacing w:after="0" w:line="240" w:lineRule="auto"/>
            </w:pPr>
            <w:r w:rsidRPr="0033148D">
              <w:t xml:space="preserve">Uspostavljen informacijski sustav </w:t>
            </w:r>
            <w:r w:rsidRPr="0033148D">
              <w:rPr>
                <w:bCs/>
              </w:rPr>
              <w:t>za</w:t>
            </w:r>
            <w:r w:rsidRPr="0033148D">
              <w:rPr>
                <w:b/>
                <w:bCs/>
              </w:rPr>
              <w:t xml:space="preserve"> </w:t>
            </w:r>
            <w:r w:rsidRPr="0033148D">
              <w:rPr>
                <w:bCs/>
              </w:rPr>
              <w:t>praćenje i vrednovanje dodjele financijskih sredstava udrugama koje provode programe i/ili projekte</w:t>
            </w:r>
            <w:r w:rsidRPr="0033148D">
              <w:t>, sukladno odredbama Uredbe o kriterijima, mjerilima i postupcima financiranja i ugovaranja programa i projekata od interesa za opće dobro koje provode udruge.</w:t>
            </w:r>
          </w:p>
          <w:p w14:paraId="460C042C" w14:textId="77777777" w:rsidR="001F24E1" w:rsidRPr="0033148D" w:rsidRDefault="001F24E1" w:rsidP="0033148D">
            <w:pPr>
              <w:pStyle w:val="ListParagraph"/>
              <w:numPr>
                <w:ilvl w:val="0"/>
                <w:numId w:val="15"/>
              </w:numPr>
              <w:spacing w:after="0" w:line="240" w:lineRule="auto"/>
            </w:pPr>
            <w:r w:rsidRPr="0033148D">
              <w:t xml:space="preserve">Uspostavljena javna baza podataka ugovorenih i financiranih projekata </w:t>
            </w:r>
          </w:p>
          <w:p w14:paraId="5608DDA8" w14:textId="77777777" w:rsidR="001F24E1" w:rsidRPr="0033148D" w:rsidRDefault="001F24E1" w:rsidP="0033148D">
            <w:pPr>
              <w:pStyle w:val="ListParagraph"/>
              <w:numPr>
                <w:ilvl w:val="0"/>
                <w:numId w:val="15"/>
              </w:numPr>
              <w:spacing w:after="0" w:line="240" w:lineRule="auto"/>
            </w:pPr>
            <w:r w:rsidRPr="0033148D">
              <w:t>Objavljeni godišnji izvještaji o financiranim programima organizacija civilnoga društva</w:t>
            </w:r>
          </w:p>
          <w:p w14:paraId="2D2C4F6C" w14:textId="77777777" w:rsidR="001F24E1" w:rsidRPr="0033148D" w:rsidRDefault="001F24E1" w:rsidP="0033148D">
            <w:pPr>
              <w:pStyle w:val="ListParagraph"/>
              <w:numPr>
                <w:ilvl w:val="0"/>
                <w:numId w:val="15"/>
              </w:numPr>
              <w:spacing w:after="0" w:line="240" w:lineRule="auto"/>
            </w:pPr>
            <w:r w:rsidRPr="0033148D">
              <w:t>Broj korisnika sustava</w:t>
            </w:r>
          </w:p>
        </w:tc>
      </w:tr>
      <w:tr w:rsidR="001F24E1" w:rsidRPr="0033148D" w14:paraId="6F6450D6" w14:textId="77777777" w:rsidTr="00A35FD2">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1516A9E" w14:textId="77777777"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Stupanj provedenosti: </w:t>
            </w:r>
          </w:p>
          <w:p w14:paraId="0B7421BE" w14:textId="49CDBA0D" w:rsidR="001F24E1" w:rsidRPr="0033148D" w:rsidRDefault="001F24E1" w:rsidP="0033148D">
            <w:pPr>
              <w:spacing w:after="0" w:line="240" w:lineRule="auto"/>
              <w:rPr>
                <w:rFonts w:ascii="Calibri" w:eastAsia="Times New Roman" w:hAnsi="Calibri" w:cs="Times New Roman"/>
                <w:bCs/>
                <w:i/>
                <w:color w:val="000000"/>
                <w:lang w:eastAsia="hr-HR"/>
              </w:rPr>
            </w:pP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13F308C"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70361903"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666A8418"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1F5A89C7"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F24E1" w:rsidRPr="0033148D" w14:paraId="59355991" w14:textId="77777777" w:rsidTr="00A35FD2">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767E0EC3"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D0933C4"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694" w:type="dxa"/>
            <w:tcBorders>
              <w:top w:val="nil"/>
              <w:left w:val="nil"/>
              <w:bottom w:val="single" w:sz="4" w:space="0" w:color="auto"/>
              <w:right w:val="single" w:sz="4" w:space="0" w:color="auto"/>
            </w:tcBorders>
            <w:shd w:val="clear" w:color="auto" w:fill="F7CAAC" w:themeFill="accent2" w:themeFillTint="66"/>
            <w:noWrap/>
            <w:vAlign w:val="center"/>
            <w:hideMark/>
          </w:tcPr>
          <w:p w14:paraId="4513D9D1"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693" w:type="dxa"/>
            <w:tcBorders>
              <w:top w:val="nil"/>
              <w:left w:val="nil"/>
              <w:bottom w:val="single" w:sz="4" w:space="0" w:color="auto"/>
              <w:right w:val="single" w:sz="4" w:space="0" w:color="auto"/>
            </w:tcBorders>
            <w:shd w:val="clear" w:color="auto" w:fill="auto"/>
            <w:noWrap/>
            <w:vAlign w:val="center"/>
            <w:hideMark/>
          </w:tcPr>
          <w:p w14:paraId="25980B2F"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977" w:type="dxa"/>
            <w:tcBorders>
              <w:top w:val="nil"/>
              <w:left w:val="nil"/>
              <w:bottom w:val="single" w:sz="4" w:space="0" w:color="auto"/>
              <w:right w:val="single" w:sz="4" w:space="0" w:color="auto"/>
            </w:tcBorders>
            <w:shd w:val="clear" w:color="auto" w:fill="auto"/>
            <w:noWrap/>
            <w:vAlign w:val="center"/>
            <w:hideMark/>
          </w:tcPr>
          <w:p w14:paraId="54F1BEE6"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r>
      <w:tr w:rsidR="001F24E1" w:rsidRPr="0033148D" w14:paraId="6462EE9A" w14:textId="77777777" w:rsidTr="00CC1BD9">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EB9EB9C" w14:textId="65510A20"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57" w:type="dxa"/>
            <w:gridSpan w:val="4"/>
            <w:tcBorders>
              <w:top w:val="nil"/>
              <w:left w:val="nil"/>
              <w:bottom w:val="single" w:sz="4" w:space="0" w:color="auto"/>
              <w:right w:val="single" w:sz="4" w:space="0" w:color="auto"/>
            </w:tcBorders>
            <w:shd w:val="clear" w:color="auto" w:fill="auto"/>
            <w:noWrap/>
            <w:vAlign w:val="center"/>
          </w:tcPr>
          <w:p w14:paraId="6D90BB00" w14:textId="0CBB77D1" w:rsidR="001F24E1" w:rsidRPr="0033148D" w:rsidRDefault="002F6E91"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Nije bilo izmjena.</w:t>
            </w:r>
          </w:p>
        </w:tc>
      </w:tr>
      <w:tr w:rsidR="001F24E1" w:rsidRPr="0033148D" w14:paraId="02BC6FE3" w14:textId="77777777" w:rsidTr="00362DB7">
        <w:trPr>
          <w:trHeight w:val="264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26870AC" w14:textId="630ED448" w:rsidR="001F24E1" w:rsidRPr="0033148D" w:rsidRDefault="001F24E1"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B75173" w14:textId="77777777" w:rsidR="001F24E1" w:rsidRPr="0033148D" w:rsidRDefault="001F24E1" w:rsidP="00362DB7">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 su pripreme sveobuhvatnog projekta izrade Informacijskog sustava za praćenje i vrednovanje dodjele financijskih sredstava udrugama koje provode programe i/ili projekte od interesa za opće dobro, a koji bi pokrivao sve propisane procedure, uključujući vrednovanje rezultata i utjecaja prethodno provedenih natječaja, planiranje i programiranje novog ciklusa, provedbu natječaja, ugovaranje i praćenje ugovorenih projekata. Osim informacijske podrške davateljima financijskih sredstava iz javnih izvora u provedbi procedure propisane Uredbom, sustav bi sprječavao mogućnost dvostrukog financiranja omogućavajući davateljima iz javnih izvora u realnom vremenu uvid u proračune koje su ostali davatelji ugovorili s organizacijama civilnoga društva, kao i razmjenu informacija o organizacijama koje ne poštuju svoje ugovorne obveze. Sustav bi također omogućio javnosti pravovremenu i opsežnu informaciju, ne samo o iznosima dodijeljenima projektima i programima, već i o rezultatima te utjecaju kojeg su financirane aktivnosti imale na društvenu zajednicu kroz objave dijelova programskih izvještaja na javnom dijelu informacijskog sustava.</w:t>
            </w:r>
          </w:p>
        </w:tc>
      </w:tr>
      <w:tr w:rsidR="001F24E1" w:rsidRPr="0033148D" w14:paraId="019AFD00" w14:textId="77777777" w:rsidTr="00A35FD2">
        <w:trPr>
          <w:trHeight w:val="101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21D1968" w14:textId="5AC1CC32" w:rsidR="001F24E1" w:rsidRPr="0033148D" w:rsidRDefault="001F24E1" w:rsidP="00CC1BD9">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1645845"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Obzirom da se radi o sveobuhvatnom sustavu, priprema za njegovo kreiranje, testiranje i prijenos korisnicima – javnim davateljima financijskih sredstava (što će biti ponuđeno bez naknade za korisnika) trajale su dulje od predviđenog, a trenutno su u završnoj fazi. Očekuje se da će ugovor s tvrtkom APIS d.o.o., koja će biti tehnički partner u izradi sustava i edukaciji korisnika, biti potpisan do kraja 2024. godine.</w:t>
            </w:r>
          </w:p>
        </w:tc>
      </w:tr>
      <w:tr w:rsidR="001F24E1" w:rsidRPr="0033148D" w14:paraId="226BD675" w14:textId="77777777" w:rsidTr="00362DB7">
        <w:trPr>
          <w:trHeight w:val="1400"/>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1E8A9BE" w14:textId="45F5542D" w:rsidR="001F24E1" w:rsidRPr="0033148D" w:rsidRDefault="001F24E1" w:rsidP="00CC1BD9">
            <w:pPr>
              <w:spacing w:after="0" w:line="240" w:lineRule="auto"/>
              <w:rPr>
                <w:rFonts w:ascii="Calibri" w:eastAsia="Times New Roman" w:hAnsi="Calibri" w:cs="Times New Roman"/>
                <w:color w:val="000000"/>
                <w:lang w:eastAsia="hr-HR"/>
              </w:rPr>
            </w:pPr>
            <w:r w:rsidRPr="0033148D">
              <w:rPr>
                <w:b/>
                <w:bCs/>
                <w:lang w:eastAsia="hr-HR"/>
              </w:rPr>
              <w:t xml:space="preserve">Sljedeći koraci </w:t>
            </w:r>
            <w:r w:rsidRPr="0033148D">
              <w:rPr>
                <w:b/>
                <w:bCs/>
                <w:i/>
                <w:iCs/>
                <w:lang w:eastAsia="hr-HR"/>
              </w:rPr>
              <w:t>:</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C49A9A"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Tijekom 2025. godine, sustav bi trebao biti dovršen, testiran i ponuđen javnim davateljima sredstava na korištenje uz sveobuhvatnu izobrazbu.</w:t>
            </w:r>
          </w:p>
        </w:tc>
      </w:tr>
    </w:tbl>
    <w:p w14:paraId="1E0F13D5" w14:textId="77777777" w:rsidR="001F24E1" w:rsidRPr="0033148D" w:rsidRDefault="001F24E1" w:rsidP="0033148D">
      <w:pPr>
        <w:spacing w:line="240" w:lineRule="auto"/>
      </w:pPr>
    </w:p>
    <w:tbl>
      <w:tblPr>
        <w:tblW w:w="15163" w:type="dxa"/>
        <w:jc w:val="center"/>
        <w:tblLook w:val="04A0" w:firstRow="1" w:lastRow="0" w:firstColumn="1" w:lastColumn="0" w:noHBand="0" w:noVBand="1"/>
      </w:tblPr>
      <w:tblGrid>
        <w:gridCol w:w="1980"/>
        <w:gridCol w:w="2126"/>
        <w:gridCol w:w="2693"/>
        <w:gridCol w:w="2552"/>
        <w:gridCol w:w="2693"/>
        <w:gridCol w:w="3119"/>
      </w:tblGrid>
      <w:tr w:rsidR="001F24E1" w:rsidRPr="0033148D" w14:paraId="64C49FEB" w14:textId="77777777" w:rsidTr="00716EFE">
        <w:trPr>
          <w:trHeight w:val="70"/>
          <w:jc w:val="center"/>
        </w:trPr>
        <w:tc>
          <w:tcPr>
            <w:tcW w:w="15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F7D4B75" w14:textId="77777777" w:rsidR="001F24E1" w:rsidRPr="0033148D" w:rsidRDefault="001F24E1" w:rsidP="0033148D">
            <w:pPr>
              <w:spacing w:after="0" w:line="240" w:lineRule="auto"/>
              <w:jc w:val="center"/>
              <w:rPr>
                <w:b/>
              </w:rPr>
            </w:pPr>
            <w:r w:rsidRPr="0033148D">
              <w:rPr>
                <w:b/>
              </w:rPr>
              <w:t>Aktivnost 6.2 – Provoditi program edukacije o kriterijima, mjerilima i postupcima financiranja i ugovaranja programa i projekata od interesa za opće dobro koje provode udruge za državne i lokalne službenike i druge davatelje javnih sredstava</w:t>
            </w:r>
          </w:p>
        </w:tc>
      </w:tr>
      <w:tr w:rsidR="001F24E1" w:rsidRPr="0033148D" w14:paraId="301AFC41"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8EF2E77" w14:textId="4A05847C" w:rsidR="001F24E1" w:rsidRPr="0033148D" w:rsidRDefault="00716EF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AD67389"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w:t>
            </w:r>
          </w:p>
        </w:tc>
      </w:tr>
      <w:tr w:rsidR="001F24E1" w:rsidRPr="0033148D" w14:paraId="21E064D1"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6896E9C" w14:textId="48A710FF" w:rsidR="001F24E1" w:rsidRPr="0033148D" w:rsidRDefault="00716EFE"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01652F9E"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Državna škola za javnu upravu (DŠJU)</w:t>
            </w:r>
          </w:p>
        </w:tc>
      </w:tr>
      <w:tr w:rsidR="001F24E1" w:rsidRPr="0033148D" w14:paraId="6E1FFDAF" w14:textId="77777777" w:rsidTr="00A35FD2">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888640B"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372CF3A"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4684C254" w14:textId="0C92047E" w:rsidR="001F24E1" w:rsidRPr="0033148D" w:rsidRDefault="001F24E1" w:rsidP="00352A62">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TDU </w:t>
            </w:r>
          </w:p>
        </w:tc>
      </w:tr>
      <w:tr w:rsidR="001F24E1" w:rsidRPr="0033148D" w14:paraId="0EA64D32" w14:textId="77777777" w:rsidTr="00A35FD2">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5C54155D"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20C4751E"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BCDBBB1"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2A1C877F" w14:textId="77777777" w:rsidTr="003D5951">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B8B82FC" w14:textId="5B49E96B"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22CC209"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1F24E1" w:rsidRPr="0033148D" w14:paraId="5D7D9352" w14:textId="77777777" w:rsidTr="003D5951">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7F67EC0" w14:textId="578EF120"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669375C"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F24E1" w:rsidRPr="0033148D" w14:paraId="2534357C" w14:textId="77777777" w:rsidTr="00A35FD2">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0F8ED4F" w14:textId="674FC843" w:rsidR="001F24E1" w:rsidRPr="0033148D" w:rsidRDefault="007A14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8B4A4AC" w14:textId="77777777" w:rsidR="001F24E1" w:rsidRPr="0033148D" w:rsidRDefault="001F24E1" w:rsidP="0033148D">
            <w:pPr>
              <w:pStyle w:val="ListParagraph"/>
              <w:numPr>
                <w:ilvl w:val="0"/>
                <w:numId w:val="39"/>
              </w:numPr>
              <w:spacing w:after="0" w:line="240" w:lineRule="auto"/>
            </w:pPr>
            <w:r w:rsidRPr="0033148D">
              <w:t>Provedeno 6 edukacijskih seminara za državnu i lokalnu razinu godišnje</w:t>
            </w:r>
          </w:p>
          <w:p w14:paraId="751E446E" w14:textId="77777777" w:rsidR="001F24E1" w:rsidRPr="0033148D" w:rsidRDefault="001F24E1" w:rsidP="0033148D">
            <w:pPr>
              <w:pStyle w:val="ListParagraph"/>
              <w:numPr>
                <w:ilvl w:val="0"/>
                <w:numId w:val="39"/>
              </w:numPr>
              <w:spacing w:after="0" w:line="240" w:lineRule="auto"/>
            </w:pPr>
            <w:r w:rsidRPr="0033148D">
              <w:t>Broj sudionika na seminarima</w:t>
            </w:r>
          </w:p>
        </w:tc>
      </w:tr>
      <w:tr w:rsidR="001F24E1" w:rsidRPr="0033148D" w14:paraId="18978CB4" w14:textId="77777777" w:rsidTr="00A35FD2">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A407DD4" w14:textId="0A014F0C" w:rsidR="001F24E1" w:rsidRPr="0033148D" w:rsidRDefault="001F24E1"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7280E99"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66C4E297"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2A35A0FC"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119" w:type="dxa"/>
            <w:tcBorders>
              <w:top w:val="single" w:sz="4" w:space="0" w:color="auto"/>
              <w:left w:val="nil"/>
              <w:bottom w:val="single" w:sz="4" w:space="0" w:color="auto"/>
              <w:right w:val="single" w:sz="4" w:space="0" w:color="auto"/>
            </w:tcBorders>
            <w:shd w:val="clear" w:color="000000" w:fill="F2F2F2"/>
            <w:vAlign w:val="center"/>
            <w:hideMark/>
          </w:tcPr>
          <w:p w14:paraId="666DAD20"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F24E1" w:rsidRPr="0033148D" w14:paraId="0E0B2784" w14:textId="77777777" w:rsidTr="00A35FD2">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08FD9456"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3304A8A"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6EA83273"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45A446F6"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3119" w:type="dxa"/>
            <w:tcBorders>
              <w:top w:val="nil"/>
              <w:left w:val="nil"/>
              <w:bottom w:val="single" w:sz="4" w:space="0" w:color="auto"/>
              <w:right w:val="single" w:sz="4" w:space="0" w:color="auto"/>
            </w:tcBorders>
            <w:shd w:val="clear" w:color="auto" w:fill="A8D08D" w:themeFill="accent6" w:themeFillTint="99"/>
            <w:noWrap/>
            <w:vAlign w:val="center"/>
            <w:hideMark/>
          </w:tcPr>
          <w:p w14:paraId="4A432C66"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1F24E1" w:rsidRPr="0033148D" w14:paraId="7A8EC563" w14:textId="77777777" w:rsidTr="00CC1BD9">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CF799FD" w14:textId="5360866D"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1057" w:type="dxa"/>
            <w:gridSpan w:val="4"/>
            <w:tcBorders>
              <w:top w:val="nil"/>
              <w:left w:val="nil"/>
              <w:bottom w:val="single" w:sz="4" w:space="0" w:color="auto"/>
              <w:right w:val="single" w:sz="4" w:space="0" w:color="auto"/>
            </w:tcBorders>
            <w:shd w:val="clear" w:color="auto" w:fill="auto"/>
            <w:noWrap/>
            <w:vAlign w:val="center"/>
          </w:tcPr>
          <w:p w14:paraId="21DB711A" w14:textId="541A8D6C" w:rsidR="001F24E1" w:rsidRPr="0033148D" w:rsidRDefault="00716EFE"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1F24E1" w:rsidRPr="0033148D" w14:paraId="160B459A" w14:textId="77777777" w:rsidTr="00A35FD2">
        <w:trPr>
          <w:trHeight w:val="215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376A17" w14:textId="7CFE8824" w:rsidR="001F24E1" w:rsidRPr="0033148D" w:rsidRDefault="001F24E1"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EDC966" w14:textId="77777777" w:rsidR="001F24E1" w:rsidRPr="0033148D" w:rsidRDefault="001F24E1" w:rsidP="00352A62">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Ured za udruge provodi dva edukacijska modula: 3-dnevnu radionicu „Standardi financiranja i ugovaranja programa i projekata od interesa za opće dobro koje provode udruge – osnovna razina“ i </w:t>
            </w:r>
            <w:r w:rsidR="00374330" w:rsidRPr="0033148D">
              <w:rPr>
                <w:rFonts w:ascii="Calibri" w:eastAsia="Times New Roman" w:hAnsi="Calibri" w:cs="Times New Roman"/>
                <w:color w:val="000000"/>
                <w:lang w:eastAsia="hr-HR"/>
              </w:rPr>
              <w:t xml:space="preserve">2-dnevnu radionicu </w:t>
            </w:r>
            <w:r w:rsidRPr="0033148D">
              <w:rPr>
                <w:rFonts w:ascii="Calibri" w:eastAsia="Times New Roman" w:hAnsi="Calibri" w:cs="Times New Roman"/>
                <w:color w:val="000000"/>
                <w:lang w:eastAsia="hr-HR"/>
              </w:rPr>
              <w:t>„Standardi financiranja i ugovaranja programa i projekata od interesa za opće dobro koje provode udruge</w:t>
            </w:r>
            <w:r w:rsidRPr="0033148D" w:rsidDel="00861DBA">
              <w:rPr>
                <w:rFonts w:ascii="Calibri" w:eastAsia="Times New Roman" w:hAnsi="Calibri" w:cs="Times New Roman"/>
                <w:color w:val="000000"/>
                <w:lang w:eastAsia="hr-HR"/>
              </w:rPr>
              <w:t xml:space="preserve"> </w:t>
            </w:r>
            <w:r w:rsidRPr="0033148D">
              <w:rPr>
                <w:rFonts w:ascii="Calibri" w:eastAsia="Times New Roman" w:hAnsi="Calibri" w:cs="Times New Roman"/>
                <w:color w:val="000000"/>
                <w:lang w:eastAsia="hr-HR"/>
              </w:rPr>
              <w:t>- napredna razina".</w:t>
            </w:r>
          </w:p>
          <w:p w14:paraId="67542E1C" w14:textId="4BB9CBDB" w:rsidR="001F24E1" w:rsidRPr="0033148D" w:rsidRDefault="001F24E1" w:rsidP="00352A62">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Kroz osnovnu trodnevnu radionicu polaznike se upoznaje s kriterijima, standardima, mjerilima i postupcima financiranja i ugovaranja koj</w:t>
            </w:r>
            <w:r w:rsidR="00352A62">
              <w:rPr>
                <w:rFonts w:ascii="Calibri" w:eastAsia="Times New Roman" w:hAnsi="Calibri" w:cs="Times New Roman"/>
                <w:color w:val="000000"/>
                <w:lang w:eastAsia="hr-HR"/>
              </w:rPr>
              <w:t>e</w:t>
            </w:r>
            <w:r w:rsidRPr="0033148D">
              <w:rPr>
                <w:rFonts w:ascii="Calibri" w:eastAsia="Times New Roman" w:hAnsi="Calibri" w:cs="Times New Roman"/>
                <w:color w:val="000000"/>
                <w:lang w:eastAsia="hr-HR"/>
              </w:rPr>
              <w:t xml:space="preserve"> su obvezni primjenjivati davatelji financijskih sredstava iz javnih izvora prilikom financiranja programa i projekata od interesa za opće dobro koje provode udruge, a kroz naprednu dvodnevnu radionicu sa standardima praćenja provedbe projekata, vrednovanja i izvještavanja. Glavni cilj ovih radionica je osvijestiti mogućnosti kreiranja društvenih promjena kroz učinkovito planiranje, provedbu natječaja za financiranje udruga, te praćenje provedbe i vrednovanje financiranja programa i projekata udruga.</w:t>
            </w:r>
          </w:p>
          <w:p w14:paraId="2379E322" w14:textId="77777777" w:rsidR="001F24E1" w:rsidRPr="0033148D" w:rsidRDefault="001F24E1" w:rsidP="00352A62">
            <w:pPr>
              <w:spacing w:after="120" w:line="240" w:lineRule="auto"/>
              <w:jc w:val="both"/>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Tijekom 2022. godine zaposlenici Ureda za udruge u suradnji s Državnom školom za javnu upravu održali su 7 radionica u dva modula za 108 polaznika iz tijela državne uprave i jedinica lokalne samouprave. U 2023. godini održano je 8 radionica u dva modula (4 osnovne i 4 napredne radionice) na kojima je sudjelovalo 105 polaznika. Dodatno su u suradnji s Ministarstvom financija, održane i 2 radionice za unutarnje revizore u županijama i gradovima o kriterijima, mjerilima i postupcima financiranja i ugovaranja programa i projekata od interesa za opće dobro koje provode udruge na kojima je sudjelovalo ukupno 39 unutarnjih revizora.</w:t>
            </w:r>
          </w:p>
        </w:tc>
      </w:tr>
      <w:tr w:rsidR="001F24E1" w:rsidRPr="0033148D" w14:paraId="0F5EC13F"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79EBE7" w14:textId="4CDC8A27" w:rsidR="001F24E1" w:rsidRPr="0033148D" w:rsidRDefault="001F24E1" w:rsidP="00CC1BD9">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55BD748" w14:textId="339BB5CA" w:rsidR="001F24E1" w:rsidRPr="0033148D" w:rsidRDefault="00DF3E9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6B5C94A9"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1284A6E" w14:textId="6BA05157" w:rsidR="001F24E1" w:rsidRPr="0033148D" w:rsidRDefault="001F24E1" w:rsidP="00CC1BD9">
            <w:pPr>
              <w:spacing w:line="240" w:lineRule="auto"/>
              <w:rPr>
                <w:rFonts w:ascii="Calibri" w:eastAsia="Times New Roman" w:hAnsi="Calibri" w:cs="Times New Roman"/>
                <w:color w:val="000000"/>
                <w:lang w:eastAsia="hr-HR"/>
              </w:rPr>
            </w:pPr>
            <w:r w:rsidRPr="0033148D">
              <w:rPr>
                <w:b/>
                <w:bCs/>
                <w:lang w:eastAsia="hr-HR"/>
              </w:rPr>
              <w:t xml:space="preserve">Sljedeći koraci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1BC2ECF" w14:textId="19B0442D" w:rsidR="001F24E1" w:rsidRPr="0033148D" w:rsidRDefault="001F24E1"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Provedba navedenih aktivnosti, odnosno radionica planirana je i narednom razdoblju.</w:t>
            </w:r>
          </w:p>
        </w:tc>
      </w:tr>
    </w:tbl>
    <w:p w14:paraId="59C012F3" w14:textId="294E8182" w:rsidR="001F24E1" w:rsidRDefault="001F24E1" w:rsidP="0033148D">
      <w:pPr>
        <w:spacing w:line="240" w:lineRule="auto"/>
      </w:pPr>
    </w:p>
    <w:tbl>
      <w:tblPr>
        <w:tblW w:w="15163" w:type="dxa"/>
        <w:jc w:val="center"/>
        <w:tblLook w:val="04A0" w:firstRow="1" w:lastRow="0" w:firstColumn="1" w:lastColumn="0" w:noHBand="0" w:noVBand="1"/>
      </w:tblPr>
      <w:tblGrid>
        <w:gridCol w:w="1980"/>
        <w:gridCol w:w="2126"/>
        <w:gridCol w:w="2693"/>
        <w:gridCol w:w="2552"/>
        <w:gridCol w:w="2835"/>
        <w:gridCol w:w="2977"/>
      </w:tblGrid>
      <w:tr w:rsidR="001F24E1" w:rsidRPr="0033148D" w14:paraId="2F9E48F0" w14:textId="77777777" w:rsidTr="00716EFE">
        <w:trPr>
          <w:trHeight w:val="70"/>
          <w:jc w:val="center"/>
        </w:trPr>
        <w:tc>
          <w:tcPr>
            <w:tcW w:w="151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4336E8"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b/>
              </w:rPr>
              <w:t>Aktivnost 6.3 – Unaprijediti primjenu Uredbe o kriterijima, mjerilima i postupcima financiranja i ugovaranja programa i projekata od interesa za opće dobro koje provode udruge</w:t>
            </w:r>
          </w:p>
        </w:tc>
      </w:tr>
      <w:tr w:rsidR="001F24E1" w:rsidRPr="0033148D" w14:paraId="324358FD"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342F50" w14:textId="58A5EC97" w:rsidR="001F24E1" w:rsidRPr="0033148D" w:rsidRDefault="00716EF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807E75C"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w:t>
            </w:r>
          </w:p>
        </w:tc>
      </w:tr>
      <w:tr w:rsidR="001F24E1" w:rsidRPr="0033148D" w14:paraId="22E60A8E"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4E99ABE" w14:textId="1E38EB01" w:rsidR="001F24E1" w:rsidRPr="0033148D" w:rsidRDefault="00716EFE"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0E2410B"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t>Državna škola za javnu upravu, TDU-ovi, JLP(R)S-ovi</w:t>
            </w:r>
          </w:p>
        </w:tc>
      </w:tr>
      <w:tr w:rsidR="001F24E1" w:rsidRPr="0033148D" w14:paraId="78418D3E" w14:textId="77777777" w:rsidTr="007D0017">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E2FAEF8"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36584194"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72D88A61" w14:textId="769D1BBD" w:rsidR="001F24E1"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779F1D22" w14:textId="77777777" w:rsidTr="007D0017">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05D473D8"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426CE3BC"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6697AF6" w14:textId="6AF37CD1" w:rsidR="001F24E1"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621EEE1E"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833EF68" w14:textId="71D23F02"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6B742792"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1F24E1" w:rsidRPr="0033148D" w14:paraId="4B145D42"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9F18760" w14:textId="12FA503E"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41E36131"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1F24E1" w:rsidRPr="0033148D" w14:paraId="277F0422" w14:textId="77777777" w:rsidTr="007D0017">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806D5C3" w14:textId="2C166FE3"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w:t>
            </w:r>
            <w:r w:rsidR="00A20739" w:rsidRPr="0033148D">
              <w:rPr>
                <w:rFonts w:ascii="Calibri" w:eastAsia="Times New Roman" w:hAnsi="Calibri" w:cs="Times New Roman"/>
                <w:b/>
                <w:bCs/>
                <w:color w:val="000000"/>
                <w:lang w:eastAsia="hr-HR"/>
              </w:rPr>
              <w:t>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94370FC"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Broj održanih edukacija i broj službenika davatelja financijskih i nefinancijskih sredstava educiranih za primjenu Uredbe. </w:t>
            </w:r>
          </w:p>
          <w:p w14:paraId="1B52308B"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Broj izrađenih sektorskih analiza o potrebama financiranja. </w:t>
            </w:r>
          </w:p>
          <w:p w14:paraId="3B1CF26E"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Objavljeni Godišnji planovi i kalendari raspisivanja javnih natječaja za dodjelu bespovratnih sredstava projektima i programima i institucionalnom djelovanju organizacija civilnoga društva objavljeni na mrežnim stranicama Ureda za udruge i pojedinih davatelja bespovratnih sredstava. </w:t>
            </w:r>
          </w:p>
          <w:p w14:paraId="608D26B3"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Broj natječaja i drugih programa financiranja provedenih sukladno rokovima propisanim u Godišnjem planu raspisivanja javnih natječaja. </w:t>
            </w:r>
          </w:p>
          <w:p w14:paraId="22127879"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Održano godišnje predstavljanje javnih natječaja, poziva i drugih programa suradnje s udrugama i drugim organizacijama civilnoga društva financiranih iz državnog proračuna, dijela prihoda od igara na sreću, fondova EU-a i drugih fondova na nacionalnoj razini. </w:t>
            </w:r>
          </w:p>
          <w:p w14:paraId="39A46C76"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Broj javnih natječaja čija je natječajna dokumentacija dostavljena Uredu za udruge na usklađivanje s Uredbom.</w:t>
            </w:r>
          </w:p>
          <w:p w14:paraId="73E1AEAD" w14:textId="77777777" w:rsidR="001F24E1" w:rsidRPr="0033148D" w:rsidRDefault="001F24E1" w:rsidP="0033148D">
            <w:pPr>
              <w:pStyle w:val="ListParagraph"/>
              <w:numPr>
                <w:ilvl w:val="0"/>
                <w:numId w:val="41"/>
              </w:numPr>
              <w:spacing w:after="0" w:line="240" w:lineRule="auto"/>
              <w:rPr>
                <w:rFonts w:cstheme="minorHAnsi"/>
              </w:rPr>
            </w:pPr>
            <w:r w:rsidRPr="0033148D">
              <w:rPr>
                <w:rFonts w:cstheme="minorHAnsi"/>
              </w:rPr>
              <w:t xml:space="preserve">Provedeno vrednovanje provedbe i učinka Uredbe o kriterijima, mjerilima i postupcima financiranja i ugovaranja programa i projekata od interesa za opće dobro koje provode udruge u suradnji sa svim dionicima na koje se Uredba odnosi. </w:t>
            </w:r>
          </w:p>
          <w:p w14:paraId="33F70B73" w14:textId="77777777" w:rsidR="001F24E1" w:rsidRPr="0033148D" w:rsidRDefault="001F24E1" w:rsidP="0033148D">
            <w:pPr>
              <w:pStyle w:val="ListParagraph"/>
              <w:numPr>
                <w:ilvl w:val="0"/>
                <w:numId w:val="41"/>
              </w:numPr>
              <w:spacing w:after="0" w:line="240" w:lineRule="auto"/>
              <w:rPr>
                <w:rFonts w:eastAsia="Times New Roman" w:cstheme="minorHAnsi"/>
                <w:color w:val="000000"/>
                <w:lang w:eastAsia="hr-HR"/>
              </w:rPr>
            </w:pPr>
            <w:r w:rsidRPr="0033148D">
              <w:rPr>
                <w:rFonts w:cstheme="minorHAnsi"/>
              </w:rPr>
              <w:t>Izmijenjena odnosno dopunjena Uredba skladno rezultatima provedenog vrednovanja</w:t>
            </w:r>
          </w:p>
        </w:tc>
      </w:tr>
      <w:tr w:rsidR="001F24E1" w:rsidRPr="0033148D" w14:paraId="58877AAD" w14:textId="77777777" w:rsidTr="007D0017">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E3362FB" w14:textId="6039FFBD" w:rsidR="001F24E1" w:rsidRPr="0033148D" w:rsidRDefault="001F24E1" w:rsidP="00CC1BD9">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Stupanj provedenosti:</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692613"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0E6A084"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2AA893F0"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7" w:type="dxa"/>
            <w:tcBorders>
              <w:top w:val="single" w:sz="4" w:space="0" w:color="auto"/>
              <w:left w:val="nil"/>
              <w:bottom w:val="single" w:sz="4" w:space="0" w:color="auto"/>
              <w:right w:val="single" w:sz="4" w:space="0" w:color="auto"/>
            </w:tcBorders>
            <w:shd w:val="clear" w:color="000000" w:fill="F2F2F2"/>
            <w:vAlign w:val="center"/>
            <w:hideMark/>
          </w:tcPr>
          <w:p w14:paraId="20402992"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F24E1" w:rsidRPr="0033148D" w14:paraId="25CE5CEC" w14:textId="77777777" w:rsidTr="00E60FCA">
        <w:trPr>
          <w:trHeight w:val="642"/>
          <w:jc w:val="center"/>
        </w:trPr>
        <w:tc>
          <w:tcPr>
            <w:tcW w:w="4106" w:type="dxa"/>
            <w:gridSpan w:val="2"/>
            <w:vMerge/>
            <w:tcBorders>
              <w:top w:val="single" w:sz="4" w:space="0" w:color="auto"/>
              <w:left w:val="single" w:sz="4" w:space="0" w:color="auto"/>
              <w:bottom w:val="single" w:sz="4" w:space="0" w:color="auto"/>
              <w:right w:val="single" w:sz="4" w:space="0" w:color="000000"/>
            </w:tcBorders>
            <w:vAlign w:val="center"/>
            <w:hideMark/>
          </w:tcPr>
          <w:p w14:paraId="607A1C9E"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47A8D2C8"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32AB2663"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FFE599" w:themeFill="accent4" w:themeFillTint="66"/>
            <w:noWrap/>
            <w:vAlign w:val="center"/>
            <w:hideMark/>
          </w:tcPr>
          <w:p w14:paraId="6AEC74BC"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977" w:type="dxa"/>
            <w:tcBorders>
              <w:top w:val="nil"/>
              <w:left w:val="nil"/>
              <w:bottom w:val="single" w:sz="4" w:space="0" w:color="auto"/>
              <w:right w:val="single" w:sz="4" w:space="0" w:color="auto"/>
            </w:tcBorders>
            <w:shd w:val="clear" w:color="auto" w:fill="auto"/>
            <w:noWrap/>
            <w:vAlign w:val="center"/>
            <w:hideMark/>
          </w:tcPr>
          <w:p w14:paraId="0C474929"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r>
      <w:tr w:rsidR="001F24E1" w:rsidRPr="0033148D" w14:paraId="21AA6551"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CF97F5" w14:textId="2224D3A1"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105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F05841E" w14:textId="3A4DBCC9" w:rsidR="001F24E1" w:rsidRPr="0033148D" w:rsidRDefault="00A20739"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1F24E1" w:rsidRPr="0033148D" w14:paraId="343EA15E" w14:textId="77777777" w:rsidTr="00E60FCA">
        <w:trPr>
          <w:trHeight w:val="113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0FD95EA" w14:textId="5B3BDFE6" w:rsidR="001F24E1" w:rsidRPr="0033148D" w:rsidRDefault="001F24E1"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6D0268" w14:textId="77777777" w:rsidR="001F24E1" w:rsidRPr="00362DB7" w:rsidRDefault="001F24E1" w:rsidP="00362DB7">
            <w:pPr>
              <w:spacing w:after="120" w:line="240" w:lineRule="auto"/>
              <w:rPr>
                <w:rFonts w:eastAsia="Times New Roman" w:cstheme="minorHAnsi"/>
                <w:bCs/>
                <w:lang w:eastAsia="hr-HR"/>
              </w:rPr>
            </w:pPr>
            <w:r w:rsidRPr="00362DB7">
              <w:rPr>
                <w:rFonts w:eastAsia="Times New Roman" w:cstheme="minorHAnsi"/>
                <w:bCs/>
                <w:lang w:eastAsia="hr-HR"/>
              </w:rPr>
              <w:t>Tijekom 2022. godine zaposlenici Ureda za udruge u suradnji s Državnom školom za javnu upravu održali su 7 radionica u dva modula „Standardi financiranja i ugovaranja programa i projekata od interesa za opće dobro koje provode udruge“ za 108 polaznika iz tijela državne uprave i jedinica lokalne samouprave.</w:t>
            </w:r>
          </w:p>
          <w:p w14:paraId="600225CC" w14:textId="77777777" w:rsidR="001F24E1" w:rsidRPr="00362DB7" w:rsidRDefault="001F24E1" w:rsidP="00362DB7">
            <w:pPr>
              <w:spacing w:after="120" w:line="240" w:lineRule="auto"/>
              <w:rPr>
                <w:rFonts w:eastAsia="Times New Roman" w:cstheme="minorHAnsi"/>
                <w:bCs/>
                <w:lang w:eastAsia="hr-HR"/>
              </w:rPr>
            </w:pPr>
            <w:r w:rsidRPr="00362DB7">
              <w:rPr>
                <w:rFonts w:eastAsia="Times New Roman" w:cstheme="minorHAnsi"/>
                <w:bCs/>
                <w:lang w:eastAsia="hr-HR"/>
              </w:rPr>
              <w:t>U 2023. godini održano je 8 radionica (4 osnovne i 4 napredne radionice) na kojima je sudjelovalo 105 polaznika. Dodatno su u suradnji s Ministarstvom financija, održane i 2 radionice za unutarnje revizore u županijama i gradovima o kriterijima, mjerilima i postupcima financiranja i ugovaranja programa i projekata od interesa za opće dobro koje provode udruge na kojima je sudjelovalo</w:t>
            </w:r>
            <w:r w:rsidR="001808C8" w:rsidRPr="00362DB7">
              <w:rPr>
                <w:rFonts w:eastAsia="Times New Roman" w:cstheme="minorHAnsi"/>
                <w:bCs/>
                <w:lang w:eastAsia="hr-HR"/>
              </w:rPr>
              <w:t xml:space="preserve"> ukupno 39 unutarnjih revizora.</w:t>
            </w:r>
          </w:p>
          <w:p w14:paraId="00DB854B" w14:textId="77777777" w:rsidR="001F24E1" w:rsidRPr="00362DB7" w:rsidRDefault="001F24E1" w:rsidP="00362DB7">
            <w:pPr>
              <w:spacing w:after="120" w:line="240" w:lineRule="auto"/>
              <w:rPr>
                <w:rFonts w:eastAsia="Times New Roman" w:cstheme="minorHAnsi"/>
                <w:bCs/>
                <w:lang w:eastAsia="hr-HR"/>
              </w:rPr>
            </w:pPr>
            <w:r w:rsidRPr="00362DB7">
              <w:rPr>
                <w:rFonts w:eastAsia="Times New Roman" w:cstheme="minorHAnsi"/>
                <w:bCs/>
                <w:lang w:eastAsia="hr-HR"/>
              </w:rPr>
              <w:t>U 2022. godini komentirana je i usklađena s Uredbom natječajna dokumentacija od 3 tijela državne uprave i 1 javnog trgovačkog društva, a u 2023. godini komentirana je i usklađena s Uredbom natječajna dokumentacija od 8 tijela državne uprave, 1 jedinice lokalne samouprave i 1 javnog trgovačkog društva.</w:t>
            </w:r>
          </w:p>
          <w:p w14:paraId="0095495E" w14:textId="77777777" w:rsidR="001F24E1" w:rsidRPr="00362DB7" w:rsidRDefault="001F24E1" w:rsidP="00362DB7">
            <w:pPr>
              <w:spacing w:after="120" w:line="240" w:lineRule="auto"/>
              <w:rPr>
                <w:rFonts w:cstheme="minorHAnsi"/>
              </w:rPr>
            </w:pPr>
            <w:r w:rsidRPr="00362DB7">
              <w:rPr>
                <w:rFonts w:eastAsia="Times New Roman" w:cstheme="minorHAnsi"/>
                <w:bCs/>
                <w:lang w:eastAsia="hr-HR"/>
              </w:rPr>
              <w:t>U 2022. godini komentirana je i usklađena s Uredbom natječajna dokumentacija od 3 tijela državne uprave i 1 javnog trgovačkog društva, a u 2023. godini komentirana je i usklađena s Uredbom natječajna dokumentacija od 8 tijela državne uprave, 1 jedinice lokalne samouprave i 1 javnog trgovačkog društva.</w:t>
            </w:r>
          </w:p>
          <w:p w14:paraId="129FF87A" w14:textId="77777777" w:rsidR="001F24E1" w:rsidRPr="00362DB7" w:rsidRDefault="001F24E1" w:rsidP="00362DB7">
            <w:pPr>
              <w:spacing w:after="120" w:line="240" w:lineRule="auto"/>
              <w:rPr>
                <w:rFonts w:cstheme="minorHAnsi"/>
              </w:rPr>
            </w:pPr>
            <w:r w:rsidRPr="00362DB7">
              <w:rPr>
                <w:rFonts w:cstheme="minorHAnsi"/>
              </w:rPr>
              <w:t xml:space="preserve">Ured je zaprimao sektorske analize za utvrđivanje prioritetnih područja financiranja programa i projekata od interesa za opće dobro koje provode udruge i druge organizacije civilnog društva iz javnih izvora za 2024. godinu u okviru primjene Uredbe o kriterijima, mjerilima i postupcima financiranja i ugovaranja programa i projekata od interesa za opće dobro koje provode udruge. Tijekom 2022. sektorske analize za 2023. godinu dostavilo je 27 tijela, a tijekom 2023. sektorske analize za 2024. godinu dostavilo je 26 tijela (14 ministarstava, dva središnja državna ureda, dva ureda Vlade RH te osam javnih institucija - javna zaklada, fond, zavod, agencija i sl.). </w:t>
            </w:r>
          </w:p>
          <w:p w14:paraId="1E0C2615" w14:textId="77777777" w:rsidR="001F24E1" w:rsidRPr="00362DB7" w:rsidRDefault="001F24E1" w:rsidP="00362DB7">
            <w:pPr>
              <w:spacing w:after="120" w:line="240" w:lineRule="auto"/>
              <w:rPr>
                <w:rFonts w:cstheme="minorHAnsi"/>
              </w:rPr>
            </w:pPr>
            <w:r w:rsidRPr="00362DB7">
              <w:rPr>
                <w:rFonts w:cstheme="minorHAnsi"/>
              </w:rPr>
              <w:t xml:space="preserve">Na mrežnoj stranici Ureda za udruge objavljivani su godišnji planovi natječaja drugih programa financiranja udruga iz javnih izvora na nacionalnoj razini, koji su izrađeni na temelju dostavljenih sektorskih analiza pojedinih davatelja. U Godišnjem planu raspisivanja javnih natječaja u 2022. godini za dodjelu bespovratnih sredstava projektima i programima i institucionalnom djelovanju organizacija civilnoga društva bilo je planirano 99 natječaja od 12 ministarstva, dva vladina ureda, tri središnja državna ureda i sedam javnih institucija. Od planiranih 97 natječaja </w:t>
            </w:r>
            <w:r w:rsidR="00374330" w:rsidRPr="00362DB7">
              <w:rPr>
                <w:rFonts w:cstheme="minorHAnsi"/>
              </w:rPr>
              <w:t>i dvije izravne dodjele sredstava za javne potrebe</w:t>
            </w:r>
            <w:r w:rsidRPr="00362DB7">
              <w:rPr>
                <w:rFonts w:cstheme="minorHAnsi"/>
              </w:rPr>
              <w:t xml:space="preserve"> za 2022. godinu sukladno Godišnjem planu natječaja tijela državne uprave za financiranje projekata OCD-a u 2022. godini raspisano je 80 natječaja. U Godišnjem planu raspisivanja javnih natječaja u 2023. godini na mrežnim stranicama Ureda za udruge i pojedinih davatelja bespovratnih sredstava bilo je planirano 96 natječaja od 11 </w:t>
            </w:r>
            <w:r w:rsidRPr="00362DB7">
              <w:rPr>
                <w:rFonts w:cstheme="minorHAnsi"/>
              </w:rPr>
              <w:lastRenderedPageBreak/>
              <w:t>ministarstva, jednog vladinog ureda, dva središnja državna ureda i sedam javnih institucija. Prema informacijama kojima raspolaže Ured za udruge u 2023. godini provedena su 63 natječaja, od čega je 36 natječaja provelo 11 ministarstava, 6 natječaja provela su dva središnja državna ureda, dva natječaja proveo je jedan Vladin ured, a sedam javnih institucija provelo je 19 natječaja.</w:t>
            </w:r>
          </w:p>
          <w:p w14:paraId="531DAB3A" w14:textId="77777777" w:rsidR="001F24E1" w:rsidRPr="00362DB7" w:rsidRDefault="001F24E1" w:rsidP="00362DB7">
            <w:pPr>
              <w:spacing w:after="120" w:line="240" w:lineRule="auto"/>
              <w:rPr>
                <w:rFonts w:cstheme="minorHAnsi"/>
              </w:rPr>
            </w:pPr>
            <w:r w:rsidRPr="00362DB7">
              <w:rPr>
                <w:rFonts w:cstheme="minorHAnsi"/>
              </w:rPr>
              <w:t>Ured za udruge, u suradnji s tijelima državne uprave - davateljima financijskih sredstava iz javnih izvora organizira INFO DANE o natječajima za financiranje projekata i programa organizacija civilnoga društva iz sredstava Državnog proračuna RH i fondova EU. 13. INFO DANI održani su 29. i 30. ožujka 2022. godine . Predstavljena su 93 natječaja, koje su u 2022. godini planirala raspisati 22 tijela državne uprave, ureda Vlade Republike Hrvatske i javnih institucija na nacionalnoj razini. Natječaji su predstavljeni u 13 programskih područja, a njihovom provedbom bilo je planirano financiranje više od 8.100 projekata, za što je osigurano više od 800 milijuna kuna. U organizaciji Ureda za udruge. Na 14. INFO DANIMA, održanim 30. i 31. ožujka 2023., 22 tijela državne uprave, ureda Vlade Republike Hrvatske i javnih institucija te dvije organizacije civilnoga društva (konzorcij OCD-a) predstavili su ukupno 70 javnih natječaja, poziva i drugih programa suradnje s udrugama i drugim organizacijama civilnoga društva iz 14 programskih područja.</w:t>
            </w:r>
            <w:r w:rsidR="00430D88" w:rsidRPr="00362DB7">
              <w:rPr>
                <w:rFonts w:cstheme="minorHAnsi"/>
              </w:rPr>
              <w:t xml:space="preserve"> Ova tijela nastavila su dostavljati Uredu za udruge natječajnu dokumentaciju na komentare i usklađivanje s Uredbom o kriterijima, mjerilima i postupcima financiranja i ugovaranja programa i projekata od interesa za opće dobro koje provode udruge. U 2022. godini Ured je komentirao natječajnu dokumentaciju za 5 javnih natječaja, a u 2023. za 10 javnih natječaja.</w:t>
            </w:r>
          </w:p>
        </w:tc>
      </w:tr>
      <w:tr w:rsidR="001F24E1" w:rsidRPr="0033148D" w14:paraId="13D9DCDC" w14:textId="77777777" w:rsidTr="00E60FCA">
        <w:trPr>
          <w:trHeight w:val="753"/>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4F4D247" w14:textId="595F4CDD"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33DE09"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r w:rsidR="00430D88" w:rsidRPr="0033148D">
              <w:rPr>
                <w:rFonts w:ascii="Calibri" w:eastAsia="Times New Roman" w:hAnsi="Calibri" w:cs="Times New Roman"/>
                <w:color w:val="000000"/>
                <w:lang w:eastAsia="hr-HR"/>
              </w:rPr>
              <w:t xml:space="preserve"> </w:t>
            </w:r>
          </w:p>
        </w:tc>
      </w:tr>
      <w:tr w:rsidR="001F24E1" w:rsidRPr="0033148D" w14:paraId="52080349" w14:textId="77777777" w:rsidTr="00716EFE">
        <w:trPr>
          <w:trHeight w:val="848"/>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7FA9261" w14:textId="79E4CCCB" w:rsidR="001F24E1" w:rsidRPr="0033148D" w:rsidRDefault="001F24E1" w:rsidP="00CC1BD9">
            <w:pPr>
              <w:spacing w:line="240" w:lineRule="auto"/>
              <w:rPr>
                <w:rFonts w:ascii="Calibri" w:eastAsia="Times New Roman" w:hAnsi="Calibri" w:cs="Times New Roman"/>
                <w:color w:val="000000"/>
                <w:lang w:eastAsia="hr-HR"/>
              </w:rPr>
            </w:pPr>
            <w:r w:rsidRPr="0033148D">
              <w:rPr>
                <w:b/>
                <w:bCs/>
                <w:lang w:eastAsia="hr-HR"/>
              </w:rPr>
              <w:t>Sljedeći koraci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2CE5E64" w14:textId="77777777" w:rsidR="001F24E1" w:rsidRPr="0033148D" w:rsidRDefault="001F24E1"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Planira se nastavak edukativnih radionica u suradnji s Državnom školom za javnu upravu, objava </w:t>
            </w:r>
            <w:r w:rsidRPr="0033148D">
              <w:t>Godišnjih planova raspisivanja javnih natječaja za dodjelu bespovratnih sredstava projektima i programima i institucionalnom djelovanju organizacija civilnoga društva te godišnje predstavljanje javnih natječaja, poziva i drugih programa suradnje s udrugama i drugim organizacijama civilnoga društva financiranih iz državnog proračuna, dijela prihoda od igara na sreću, fondova EU-a i drugih fondova na nacionalnoj razini</w:t>
            </w:r>
            <w:r w:rsidR="00374330" w:rsidRPr="0033148D">
              <w:rPr>
                <w:rFonts w:ascii="Calibri" w:eastAsia="Times New Roman" w:hAnsi="Calibri" w:cs="Times New Roman"/>
                <w:color w:val="000000"/>
                <w:lang w:eastAsia="hr-HR"/>
              </w:rPr>
              <w:t>, kao i redovito komentiranje natječajne dokumentacije tijela državne uprave, jedinica lokalne samouprave i javnih trgovačkih društava radi usklađivanja s odredbama Uredbe</w:t>
            </w:r>
            <w:r w:rsidRPr="0033148D">
              <w:rPr>
                <w:rFonts w:ascii="Calibri" w:eastAsia="Times New Roman" w:hAnsi="Calibri" w:cs="Times New Roman"/>
                <w:color w:val="000000"/>
                <w:lang w:eastAsia="hr-HR"/>
              </w:rPr>
              <w:t>.</w:t>
            </w:r>
          </w:p>
        </w:tc>
      </w:tr>
    </w:tbl>
    <w:p w14:paraId="1872E302" w14:textId="77777777" w:rsidR="001F24E1" w:rsidRPr="0033148D" w:rsidRDefault="001F24E1" w:rsidP="0033148D">
      <w:pPr>
        <w:spacing w:line="240" w:lineRule="auto"/>
      </w:pPr>
    </w:p>
    <w:tbl>
      <w:tblPr>
        <w:tblW w:w="15021" w:type="dxa"/>
        <w:jc w:val="center"/>
        <w:tblLook w:val="04A0" w:firstRow="1" w:lastRow="0" w:firstColumn="1" w:lastColumn="0" w:noHBand="0" w:noVBand="1"/>
      </w:tblPr>
      <w:tblGrid>
        <w:gridCol w:w="1980"/>
        <w:gridCol w:w="2126"/>
        <w:gridCol w:w="2693"/>
        <w:gridCol w:w="2410"/>
        <w:gridCol w:w="2552"/>
        <w:gridCol w:w="3260"/>
      </w:tblGrid>
      <w:tr w:rsidR="001F24E1" w:rsidRPr="0033148D" w14:paraId="5A1CD0ED" w14:textId="77777777" w:rsidTr="00716EFE">
        <w:trPr>
          <w:trHeight w:val="70"/>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7DE66DB" w14:textId="094EEDEB" w:rsidR="001F24E1"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716EFE" w:rsidRPr="0033148D">
              <w:rPr>
                <w:b/>
                <w:bCs/>
              </w:rPr>
              <w:t xml:space="preserve">6.4 Provoditi edukacije organizacija civilnoga društva o postupcima javne nabave za </w:t>
            </w:r>
            <w:proofErr w:type="spellStart"/>
            <w:r w:rsidR="00716EFE" w:rsidRPr="0033148D">
              <w:rPr>
                <w:b/>
                <w:bCs/>
              </w:rPr>
              <w:t>neobveznike</w:t>
            </w:r>
            <w:proofErr w:type="spellEnd"/>
            <w:r w:rsidR="00716EFE" w:rsidRPr="0033148D">
              <w:rPr>
                <w:b/>
                <w:bCs/>
              </w:rPr>
              <w:t xml:space="preserve"> javne nabave s ciljem povećanja transparentnosti korištenja javnih sredstava</w:t>
            </w:r>
          </w:p>
        </w:tc>
      </w:tr>
      <w:tr w:rsidR="001F24E1" w:rsidRPr="0033148D" w14:paraId="18DC910F" w14:textId="77777777" w:rsidTr="00716EFE">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40EA43" w14:textId="1562C890" w:rsidR="001F24E1" w:rsidRPr="0033148D" w:rsidRDefault="00716EF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67DED6" w14:textId="2BF48C38" w:rsidR="001F24E1" w:rsidRPr="0033148D" w:rsidRDefault="00716EFE" w:rsidP="0033148D">
            <w:pPr>
              <w:spacing w:line="240" w:lineRule="auto"/>
              <w:rPr>
                <w:b/>
                <w:bCs/>
              </w:rPr>
            </w:pPr>
            <w:r w:rsidRPr="0033148D">
              <w:t>Ministarstvo gospodarstva i održivog razvoja</w:t>
            </w:r>
          </w:p>
        </w:tc>
      </w:tr>
      <w:tr w:rsidR="001F24E1" w:rsidRPr="0033148D" w14:paraId="29F2539A" w14:textId="77777777" w:rsidTr="00716EFE">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6F14A18" w14:textId="37C52ADC" w:rsidR="001F24E1" w:rsidRPr="0033148D" w:rsidRDefault="00716EFE"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71B438C2" w14:textId="74F7A612" w:rsidR="001F24E1" w:rsidRPr="0033148D" w:rsidRDefault="007B60A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6EB29B4D" w14:textId="77777777" w:rsidTr="00716EFE">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07E0ECA"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0F0A3F0A"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17212C71" w14:textId="7A13164E" w:rsidR="001F24E1"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6B9248F0" w14:textId="77777777" w:rsidTr="00716EFE">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54FCD846"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0301E6A6"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7AFA3363" w14:textId="31834491" w:rsidR="001F24E1"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1F24E1" w:rsidRPr="0033148D" w14:paraId="7E561E50"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9CC3C87" w14:textId="1F274A38" w:rsidR="001F24E1" w:rsidRPr="0033148D" w:rsidRDefault="001F24E1"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Datum početka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5B3AEAFF"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1.1.2023.</w:t>
            </w:r>
          </w:p>
        </w:tc>
      </w:tr>
      <w:tr w:rsidR="001F24E1" w:rsidRPr="0033148D" w14:paraId="798D6699"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D887B63" w14:textId="415714F2"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07F26806"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31.12.2023.</w:t>
            </w:r>
          </w:p>
        </w:tc>
      </w:tr>
      <w:tr w:rsidR="001F24E1" w:rsidRPr="0033148D" w14:paraId="6B83FD5C" w14:textId="77777777" w:rsidTr="00CC1BD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1601143" w14:textId="7809471E" w:rsidR="001F24E1" w:rsidRPr="0033148D" w:rsidRDefault="00A20739"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3D832735" w14:textId="77777777" w:rsidR="001F24E1" w:rsidRPr="0033148D" w:rsidRDefault="001F24E1" w:rsidP="0033148D">
            <w:pPr>
              <w:spacing w:after="0" w:line="240" w:lineRule="auto"/>
              <w:rPr>
                <w:rFonts w:eastAsia="Times New Roman" w:cstheme="minorHAnsi"/>
                <w:color w:val="000000"/>
                <w:lang w:eastAsia="hr-HR"/>
              </w:rPr>
            </w:pPr>
            <w:r w:rsidRPr="0033148D">
              <w:rPr>
                <w:rFonts w:eastAsia="Times New Roman" w:cstheme="minorHAnsi"/>
                <w:bCs/>
                <w:color w:val="000000"/>
                <w:lang w:eastAsia="hr-HR"/>
              </w:rPr>
              <w:t xml:space="preserve">Provedena 1 edukacija godišnje o postupcima nabave za </w:t>
            </w:r>
            <w:proofErr w:type="spellStart"/>
            <w:r w:rsidRPr="0033148D">
              <w:rPr>
                <w:rFonts w:eastAsia="Times New Roman" w:cstheme="minorHAnsi"/>
                <w:bCs/>
                <w:color w:val="000000"/>
                <w:lang w:eastAsia="hr-HR"/>
              </w:rPr>
              <w:t>neobveznike</w:t>
            </w:r>
            <w:proofErr w:type="spellEnd"/>
            <w:r w:rsidRPr="0033148D">
              <w:rPr>
                <w:rFonts w:eastAsia="Times New Roman" w:cstheme="minorHAnsi"/>
                <w:bCs/>
                <w:color w:val="000000"/>
                <w:lang w:eastAsia="hr-HR"/>
              </w:rPr>
              <w:t xml:space="preserve"> javne nabave u </w:t>
            </w:r>
            <w:r w:rsidRPr="0033148D">
              <w:rPr>
                <w:rFonts w:eastAsia="Times New Roman" w:cstheme="minorHAnsi"/>
                <w:bCs/>
                <w:i/>
                <w:color w:val="000000"/>
                <w:lang w:eastAsia="hr-HR"/>
              </w:rPr>
              <w:t>online</w:t>
            </w:r>
            <w:r w:rsidRPr="0033148D">
              <w:rPr>
                <w:rFonts w:eastAsia="Times New Roman" w:cstheme="minorHAnsi"/>
                <w:bCs/>
                <w:color w:val="000000"/>
                <w:lang w:eastAsia="hr-HR"/>
              </w:rPr>
              <w:t xml:space="preserve"> formatu</w:t>
            </w:r>
          </w:p>
        </w:tc>
      </w:tr>
      <w:tr w:rsidR="001F24E1" w:rsidRPr="0033148D" w14:paraId="020B8DD3" w14:textId="77777777" w:rsidTr="00716EFE">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9B69D31" w14:textId="6EDDC068" w:rsidR="001F24E1" w:rsidRPr="0033148D" w:rsidRDefault="001F24E1"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DB90D9C"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F4BE4F9"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1D9C135A"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260" w:type="dxa"/>
            <w:tcBorders>
              <w:top w:val="single" w:sz="4" w:space="0" w:color="auto"/>
              <w:left w:val="nil"/>
              <w:bottom w:val="single" w:sz="4" w:space="0" w:color="auto"/>
              <w:right w:val="single" w:sz="4" w:space="0" w:color="auto"/>
            </w:tcBorders>
            <w:shd w:val="clear" w:color="000000" w:fill="F2F2F2"/>
            <w:vAlign w:val="center"/>
            <w:hideMark/>
          </w:tcPr>
          <w:p w14:paraId="079F36F2" w14:textId="77777777" w:rsidR="001F24E1" w:rsidRPr="0033148D" w:rsidRDefault="001F24E1"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1F24E1" w:rsidRPr="0033148D" w14:paraId="7AA11D87" w14:textId="77777777" w:rsidTr="00716EFE">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104C9C11" w14:textId="77777777" w:rsidR="001F24E1" w:rsidRPr="0033148D" w:rsidRDefault="001F24E1"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660BE56F"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716DB913"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552" w:type="dxa"/>
            <w:tcBorders>
              <w:top w:val="nil"/>
              <w:left w:val="nil"/>
              <w:bottom w:val="single" w:sz="4" w:space="0" w:color="auto"/>
              <w:right w:val="single" w:sz="4" w:space="0" w:color="auto"/>
            </w:tcBorders>
            <w:shd w:val="clear" w:color="auto" w:fill="auto"/>
            <w:noWrap/>
            <w:vAlign w:val="center"/>
            <w:hideMark/>
          </w:tcPr>
          <w:p w14:paraId="1962015F"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c>
          <w:tcPr>
            <w:tcW w:w="3260" w:type="dxa"/>
            <w:tcBorders>
              <w:top w:val="nil"/>
              <w:left w:val="nil"/>
              <w:bottom w:val="single" w:sz="4" w:space="0" w:color="auto"/>
              <w:right w:val="single" w:sz="4" w:space="0" w:color="auto"/>
            </w:tcBorders>
            <w:shd w:val="clear" w:color="auto" w:fill="auto"/>
            <w:noWrap/>
            <w:vAlign w:val="center"/>
            <w:hideMark/>
          </w:tcPr>
          <w:p w14:paraId="5FDB498A" w14:textId="77777777" w:rsidR="001F24E1" w:rsidRPr="0033148D" w:rsidRDefault="001F24E1" w:rsidP="0033148D">
            <w:pPr>
              <w:spacing w:after="0" w:line="240" w:lineRule="auto"/>
              <w:jc w:val="center"/>
              <w:rPr>
                <w:rFonts w:ascii="Calibri" w:eastAsia="Times New Roman" w:hAnsi="Calibri" w:cs="Times New Roman"/>
                <w:color w:val="000000"/>
                <w:lang w:eastAsia="hr-HR"/>
              </w:rPr>
            </w:pPr>
          </w:p>
        </w:tc>
      </w:tr>
      <w:tr w:rsidR="001F24E1" w:rsidRPr="0033148D" w14:paraId="43942125" w14:textId="77777777" w:rsidTr="00716EFE">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11F6C18D" w14:textId="1E74E8D0"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915" w:type="dxa"/>
            <w:gridSpan w:val="4"/>
            <w:tcBorders>
              <w:top w:val="nil"/>
              <w:left w:val="nil"/>
              <w:bottom w:val="single" w:sz="4" w:space="0" w:color="auto"/>
              <w:right w:val="single" w:sz="4" w:space="0" w:color="auto"/>
            </w:tcBorders>
            <w:shd w:val="clear" w:color="auto" w:fill="auto"/>
            <w:noWrap/>
            <w:vAlign w:val="center"/>
          </w:tcPr>
          <w:p w14:paraId="426BFB4A" w14:textId="77777777" w:rsidR="001F24E1" w:rsidRPr="0033148D" w:rsidRDefault="001F24E1" w:rsidP="0033148D">
            <w:pPr>
              <w:spacing w:after="0" w:line="240" w:lineRule="auto"/>
              <w:jc w:val="both"/>
              <w:rPr>
                <w:rFonts w:ascii="Calibri" w:eastAsia="Times New Roman" w:hAnsi="Calibri" w:cs="Times New Roman"/>
                <w:b/>
                <w:bCs/>
                <w:color w:val="000000"/>
                <w:lang w:eastAsia="hr-HR"/>
              </w:rPr>
            </w:pPr>
            <w:r w:rsidRPr="0033148D">
              <w:rPr>
                <w:rFonts w:ascii="Calibri" w:eastAsia="Times New Roman" w:hAnsi="Calibri" w:cs="Times New Roman"/>
                <w:color w:val="000000"/>
                <w:lang w:eastAsia="hr-HR"/>
              </w:rPr>
              <w:t xml:space="preserve">Aktivnost je provedena u manjoj mjeri, s obzirom da u izvještajnom razdoblju Ured za udruge nije ugovarao projekte za čije korisnike (organizacije civilnoga društva) je bilo predviđeno održavanje edukacija o javnoj nabavi za </w:t>
            </w:r>
            <w:proofErr w:type="spellStart"/>
            <w:r w:rsidRPr="0033148D">
              <w:rPr>
                <w:rFonts w:ascii="Calibri" w:eastAsia="Times New Roman" w:hAnsi="Calibri" w:cs="Times New Roman"/>
                <w:color w:val="000000"/>
                <w:lang w:eastAsia="hr-HR"/>
              </w:rPr>
              <w:t>neobveznike</w:t>
            </w:r>
            <w:proofErr w:type="spellEnd"/>
            <w:r w:rsidRPr="0033148D">
              <w:rPr>
                <w:rFonts w:ascii="Calibri" w:eastAsia="Times New Roman" w:hAnsi="Calibri" w:cs="Times New Roman"/>
                <w:color w:val="000000"/>
                <w:lang w:eastAsia="hr-HR"/>
              </w:rPr>
              <w:t xml:space="preserve"> javne nabave. </w:t>
            </w:r>
          </w:p>
        </w:tc>
      </w:tr>
      <w:tr w:rsidR="001F24E1" w:rsidRPr="0033148D" w14:paraId="70FF5610" w14:textId="77777777" w:rsidTr="00315D07">
        <w:trPr>
          <w:trHeight w:val="60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C86B6C" w14:textId="4EB47619" w:rsidR="001F24E1" w:rsidRPr="0033148D" w:rsidRDefault="001F24E1" w:rsidP="00CC1BD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7CDE60D"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Za sve zainteresirane OCD-e, na internetskoj stranici Ureda za udruge objavljene su pisana </w:t>
            </w:r>
            <w:hyperlink r:id="rId32" w:history="1">
              <w:r w:rsidRPr="0033148D">
                <w:rPr>
                  <w:rStyle w:val="Hyperlink"/>
                  <w:rFonts w:ascii="Calibri" w:eastAsia="Times New Roman" w:hAnsi="Calibri" w:cs="Times New Roman"/>
                  <w:lang w:eastAsia="hr-HR"/>
                </w:rPr>
                <w:t xml:space="preserve">Pravila o provedbi postupaka nabava za </w:t>
              </w:r>
              <w:proofErr w:type="spellStart"/>
              <w:r w:rsidRPr="0033148D">
                <w:rPr>
                  <w:rStyle w:val="Hyperlink"/>
                  <w:rFonts w:ascii="Calibri" w:eastAsia="Times New Roman" w:hAnsi="Calibri" w:cs="Times New Roman"/>
                  <w:lang w:eastAsia="hr-HR"/>
                </w:rPr>
                <w:t>neobveznike</w:t>
              </w:r>
              <w:proofErr w:type="spellEnd"/>
              <w:r w:rsidRPr="0033148D">
                <w:rPr>
                  <w:rStyle w:val="Hyperlink"/>
                  <w:rFonts w:ascii="Calibri" w:eastAsia="Times New Roman" w:hAnsi="Calibri" w:cs="Times New Roman"/>
                  <w:lang w:eastAsia="hr-HR"/>
                </w:rPr>
                <w:t xml:space="preserve"> Zakona o javnoj nabavi.</w:t>
              </w:r>
            </w:hyperlink>
          </w:p>
        </w:tc>
      </w:tr>
      <w:tr w:rsidR="001F24E1" w:rsidRPr="0033148D" w14:paraId="2CC57E56" w14:textId="77777777" w:rsidTr="00315D07">
        <w:trPr>
          <w:trHeight w:val="698"/>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8BD73FD" w14:textId="769ED886" w:rsidR="001F24E1" w:rsidRPr="0033148D" w:rsidRDefault="001F24E1" w:rsidP="00CC1B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71787E8" w14:textId="77777777" w:rsidR="001F24E1" w:rsidRPr="0033148D" w:rsidRDefault="001F24E1"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Nakon objave planiranih natječaja održat će se provedbene radionice, u okviru kojih će se održati i edukacija za OCD-e </w:t>
            </w:r>
            <w:proofErr w:type="spellStart"/>
            <w:r w:rsidRPr="0033148D">
              <w:rPr>
                <w:rFonts w:ascii="Calibri" w:eastAsia="Times New Roman" w:hAnsi="Calibri" w:cs="Times New Roman"/>
                <w:color w:val="000000"/>
                <w:lang w:eastAsia="hr-HR"/>
              </w:rPr>
              <w:t>neobveznike</w:t>
            </w:r>
            <w:proofErr w:type="spellEnd"/>
            <w:r w:rsidRPr="0033148D">
              <w:rPr>
                <w:rFonts w:ascii="Calibri" w:eastAsia="Times New Roman" w:hAnsi="Calibri" w:cs="Times New Roman"/>
                <w:color w:val="000000"/>
                <w:lang w:eastAsia="hr-HR"/>
              </w:rPr>
              <w:t xml:space="preserve"> javne nabave te ažuriranje pisanih uputa koje će biti objavljene na internetskoj stranici Ureda za udruge.</w:t>
            </w:r>
          </w:p>
        </w:tc>
      </w:tr>
      <w:tr w:rsidR="001F24E1" w:rsidRPr="0033148D" w14:paraId="1F7FDD6E" w14:textId="77777777" w:rsidTr="00CC05DA">
        <w:trPr>
          <w:trHeight w:val="848"/>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F8C85C8" w14:textId="31DA4D94" w:rsidR="001F24E1" w:rsidRPr="0033148D" w:rsidRDefault="001F24E1" w:rsidP="00CC1BD9">
            <w:pPr>
              <w:spacing w:after="0" w:line="240" w:lineRule="auto"/>
              <w:rPr>
                <w:rFonts w:ascii="Calibri" w:eastAsia="Times New Roman" w:hAnsi="Calibri" w:cs="Times New Roman"/>
                <w:color w:val="000000"/>
                <w:lang w:eastAsia="hr-HR"/>
              </w:rPr>
            </w:pPr>
            <w:r w:rsidRPr="0033148D">
              <w:rPr>
                <w:b/>
                <w:bCs/>
                <w:lang w:eastAsia="hr-HR"/>
              </w:rPr>
              <w:t>Sljedeći koraci</w:t>
            </w:r>
            <w:r w:rsidR="00CC1BD9">
              <w:rPr>
                <w:b/>
                <w:bCs/>
                <w:lang w:eastAsia="hr-HR"/>
              </w:rPr>
              <w:t>:</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F509A5" w14:textId="77777777" w:rsidR="001F24E1" w:rsidRPr="0033148D" w:rsidRDefault="001F24E1"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 narednom razdoblju planira se raspisivanje natječaja (primjerice, u okviru Švicarsko-hrvatskog programa suradnje) u okviru kojih će se provoditi provedbene radionice za korisnike. Na provedbenim radionicama korisnike će se upoznati s postupcima javne nabave za </w:t>
            </w:r>
            <w:proofErr w:type="spellStart"/>
            <w:r w:rsidRPr="0033148D">
              <w:rPr>
                <w:rFonts w:ascii="Calibri" w:eastAsia="Times New Roman" w:hAnsi="Calibri" w:cs="Times New Roman"/>
                <w:color w:val="000000"/>
                <w:lang w:eastAsia="hr-HR"/>
              </w:rPr>
              <w:t>neobveznike</w:t>
            </w:r>
            <w:proofErr w:type="spellEnd"/>
            <w:r w:rsidRPr="0033148D">
              <w:rPr>
                <w:rFonts w:ascii="Calibri" w:eastAsia="Times New Roman" w:hAnsi="Calibri" w:cs="Times New Roman"/>
                <w:color w:val="000000"/>
                <w:lang w:eastAsia="hr-HR"/>
              </w:rPr>
              <w:t xml:space="preserve"> javne nabave te će pisane upute biti na internetskoj stranici Ureda za udruge. </w:t>
            </w:r>
          </w:p>
        </w:tc>
      </w:tr>
    </w:tbl>
    <w:p w14:paraId="075E7A50" w14:textId="77777777" w:rsidR="00EC39ED" w:rsidRPr="0033148D" w:rsidRDefault="00EC39ED" w:rsidP="0033148D">
      <w:pPr>
        <w:spacing w:line="240" w:lineRule="auto"/>
      </w:pPr>
    </w:p>
    <w:p w14:paraId="4E870F20" w14:textId="77777777" w:rsidR="002E597E" w:rsidRPr="00E60FCA" w:rsidRDefault="002E597E" w:rsidP="00267611">
      <w:pPr>
        <w:pStyle w:val="Heading3"/>
      </w:pPr>
      <w:bookmarkStart w:id="23" w:name="_Toc183591323"/>
      <w:r w:rsidRPr="00E60FCA">
        <w:t>MJERA 7 – JAČANJE TRANSPARENTNOSTI I ODGOVORNOSTI NA RAZINI TRGOVAČKIH DRUŠTAVA U VEĆINSKOM VLASNIŠTVU JEDINICA LOKALNE I PODRUČNE (REGIONALNE) SAMOUPRAVE</w:t>
      </w:r>
      <w:bookmarkEnd w:id="23"/>
    </w:p>
    <w:tbl>
      <w:tblPr>
        <w:tblW w:w="15021" w:type="dxa"/>
        <w:jc w:val="center"/>
        <w:tblLook w:val="04A0" w:firstRow="1" w:lastRow="0" w:firstColumn="1" w:lastColumn="0" w:noHBand="0" w:noVBand="1"/>
      </w:tblPr>
      <w:tblGrid>
        <w:gridCol w:w="1980"/>
        <w:gridCol w:w="2126"/>
        <w:gridCol w:w="2693"/>
        <w:gridCol w:w="2410"/>
        <w:gridCol w:w="2552"/>
        <w:gridCol w:w="3260"/>
      </w:tblGrid>
      <w:tr w:rsidR="003803F4" w:rsidRPr="0033148D" w14:paraId="6E603D5A" w14:textId="77777777" w:rsidTr="00CC05DA">
        <w:trPr>
          <w:trHeight w:val="70"/>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9EBA5D"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b/>
              </w:rPr>
              <w:t>Aktivnost 7.1 – Provoditi program edukacije trgovačkih društava u vlasništvu Republike Hrvatske, odnosno jedne ili više jedinica lokalne i područne (regionalne) samouprave o standardima dodjele donacija i sponzorstava organizacijama civilnoga društva</w:t>
            </w:r>
          </w:p>
        </w:tc>
      </w:tr>
      <w:tr w:rsidR="003803F4" w:rsidRPr="0033148D" w14:paraId="6A17BC39" w14:textId="77777777" w:rsidTr="00315D0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61B33A0" w14:textId="3EAA7541" w:rsidR="003803F4" w:rsidRPr="0033148D" w:rsidRDefault="003803F4"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984EE7" w14:textId="77777777" w:rsidR="003803F4" w:rsidRPr="0033148D" w:rsidRDefault="003803F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w:t>
            </w:r>
          </w:p>
        </w:tc>
      </w:tr>
      <w:tr w:rsidR="003803F4" w:rsidRPr="0033148D" w14:paraId="7EE2C17F" w14:textId="77777777" w:rsidTr="00315D0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C8880F2" w14:textId="18D1154D" w:rsidR="003803F4" w:rsidRPr="0033148D" w:rsidRDefault="003803F4"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0BC77BBD" w14:textId="77777777" w:rsidR="003803F4" w:rsidRPr="0033148D" w:rsidRDefault="003803F4" w:rsidP="0033148D">
            <w:pPr>
              <w:spacing w:after="0" w:line="240" w:lineRule="auto"/>
              <w:rPr>
                <w:rFonts w:ascii="Calibri" w:eastAsia="Times New Roman" w:hAnsi="Calibri" w:cs="Times New Roman"/>
                <w:color w:val="000000"/>
                <w:lang w:eastAsia="hr-HR"/>
              </w:rPr>
            </w:pPr>
            <w:r w:rsidRPr="0033148D">
              <w:t>/</w:t>
            </w:r>
          </w:p>
        </w:tc>
      </w:tr>
      <w:tr w:rsidR="003803F4" w:rsidRPr="0033148D" w14:paraId="201C7F0D" w14:textId="77777777" w:rsidTr="00E60FCA">
        <w:trPr>
          <w:trHeight w:val="228"/>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C261C0C"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3D0EDC64"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915" w:type="dxa"/>
            <w:gridSpan w:val="4"/>
            <w:tcBorders>
              <w:top w:val="single" w:sz="4" w:space="0" w:color="auto"/>
              <w:left w:val="nil"/>
              <w:bottom w:val="single" w:sz="4" w:space="0" w:color="auto"/>
              <w:right w:val="single" w:sz="4" w:space="0" w:color="auto"/>
            </w:tcBorders>
            <w:shd w:val="clear" w:color="auto" w:fill="auto"/>
            <w:noWrap/>
            <w:vAlign w:val="center"/>
          </w:tcPr>
          <w:p w14:paraId="7E29AE9B" w14:textId="3D203D0C" w:rsidR="003803F4"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3803F4" w:rsidRPr="0033148D" w14:paraId="6BE072D2" w14:textId="77777777" w:rsidTr="00E60FCA">
        <w:trPr>
          <w:trHeight w:val="70"/>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042CA40" w14:textId="77777777" w:rsidR="003803F4" w:rsidRPr="0033148D" w:rsidRDefault="003803F4" w:rsidP="0033148D">
            <w:pPr>
              <w:spacing w:after="0" w:line="240" w:lineRule="auto"/>
              <w:rPr>
                <w:rFonts w:ascii="Calibri" w:eastAsia="Times New Roman" w:hAnsi="Calibri" w:cs="Times New Roman"/>
                <w:b/>
                <w:bCs/>
                <w:color w:val="000000"/>
                <w:lang w:eastAsia="hr-HR"/>
              </w:rPr>
            </w:pPr>
          </w:p>
        </w:tc>
        <w:tc>
          <w:tcPr>
            <w:tcW w:w="2126" w:type="dxa"/>
            <w:tcBorders>
              <w:top w:val="single" w:sz="4" w:space="0" w:color="auto"/>
              <w:left w:val="nil"/>
              <w:bottom w:val="single" w:sz="4" w:space="0" w:color="auto"/>
              <w:right w:val="single" w:sz="4" w:space="0" w:color="auto"/>
            </w:tcBorders>
            <w:shd w:val="clear" w:color="000000" w:fill="F2F2F2"/>
            <w:vAlign w:val="center"/>
            <w:hideMark/>
          </w:tcPr>
          <w:p w14:paraId="1D55B964"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915" w:type="dxa"/>
            <w:gridSpan w:val="4"/>
            <w:tcBorders>
              <w:top w:val="single" w:sz="4" w:space="0" w:color="auto"/>
              <w:left w:val="nil"/>
              <w:bottom w:val="single" w:sz="4" w:space="0" w:color="auto"/>
              <w:right w:val="single" w:sz="4" w:space="0" w:color="auto"/>
            </w:tcBorders>
            <w:shd w:val="clear" w:color="auto" w:fill="auto"/>
            <w:noWrap/>
            <w:vAlign w:val="center"/>
          </w:tcPr>
          <w:p w14:paraId="7CB5F762" w14:textId="71350C20" w:rsidR="003803F4"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3803F4" w:rsidRPr="0033148D" w14:paraId="485D71A8" w14:textId="77777777" w:rsidTr="00315D0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50880BD" w14:textId="023D5A4E" w:rsidR="003803F4" w:rsidRPr="0033148D" w:rsidRDefault="003803F4"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323F7AF9" w14:textId="77777777" w:rsidR="003803F4" w:rsidRPr="0033148D" w:rsidRDefault="003803F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3803F4" w:rsidRPr="0033148D" w14:paraId="73F1E658" w14:textId="77777777" w:rsidTr="00315D0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9A48412" w14:textId="43523584" w:rsidR="003803F4" w:rsidRPr="0033148D" w:rsidRDefault="003803F4"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Datum završetka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776B8C4A" w14:textId="77777777" w:rsidR="003803F4" w:rsidRPr="0033148D" w:rsidRDefault="003803F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3803F4" w:rsidRPr="0033148D" w14:paraId="27D6E1DA" w14:textId="77777777" w:rsidTr="00315D0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08E3252" w14:textId="1A38FA63" w:rsidR="003803F4"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tcPr>
          <w:p w14:paraId="2A2D5306" w14:textId="77777777" w:rsidR="003803F4" w:rsidRPr="0033148D" w:rsidRDefault="003803F4" w:rsidP="0033148D">
            <w:pPr>
              <w:pStyle w:val="ListParagraph"/>
              <w:numPr>
                <w:ilvl w:val="0"/>
                <w:numId w:val="43"/>
              </w:numPr>
              <w:spacing w:after="0" w:line="240" w:lineRule="auto"/>
            </w:pPr>
            <w:r w:rsidRPr="0033148D">
              <w:t>Održane minimalno 2 edukativne radionice godišnje</w:t>
            </w:r>
          </w:p>
        </w:tc>
      </w:tr>
      <w:tr w:rsidR="003803F4" w:rsidRPr="0033148D" w14:paraId="42930C8E" w14:textId="77777777" w:rsidTr="00CC05DA">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2DF1659" w14:textId="69460298" w:rsidR="003803F4" w:rsidRPr="0033148D" w:rsidRDefault="003803F4"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Stupanj provedenosti:</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36908B5"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2F7FE053"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7CD8F17"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260" w:type="dxa"/>
            <w:tcBorders>
              <w:top w:val="single" w:sz="4" w:space="0" w:color="auto"/>
              <w:left w:val="nil"/>
              <w:bottom w:val="single" w:sz="4" w:space="0" w:color="auto"/>
              <w:right w:val="single" w:sz="4" w:space="0" w:color="auto"/>
            </w:tcBorders>
            <w:shd w:val="clear" w:color="000000" w:fill="F2F2F2"/>
            <w:vAlign w:val="center"/>
            <w:hideMark/>
          </w:tcPr>
          <w:p w14:paraId="03F75561" w14:textId="77777777" w:rsidR="003803F4" w:rsidRPr="0033148D" w:rsidRDefault="003803F4"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3803F4" w:rsidRPr="0033148D" w14:paraId="5ED8BBD2" w14:textId="77777777" w:rsidTr="00CC05DA">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1E5584C5" w14:textId="77777777" w:rsidR="003803F4" w:rsidRPr="0033148D" w:rsidRDefault="003803F4"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1D34398" w14:textId="77777777" w:rsidR="003803F4" w:rsidRPr="0033148D" w:rsidRDefault="003803F4"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30D509BE" w14:textId="77777777" w:rsidR="003803F4" w:rsidRPr="0033148D" w:rsidRDefault="003803F4"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77E38A99" w14:textId="77777777" w:rsidR="003803F4" w:rsidRPr="0033148D" w:rsidRDefault="003803F4" w:rsidP="0033148D">
            <w:pPr>
              <w:spacing w:after="0" w:line="240" w:lineRule="auto"/>
              <w:jc w:val="center"/>
              <w:rPr>
                <w:rFonts w:ascii="Calibri" w:eastAsia="Times New Roman" w:hAnsi="Calibri" w:cs="Times New Roman"/>
                <w:color w:val="000000"/>
                <w:lang w:eastAsia="hr-HR"/>
              </w:rPr>
            </w:pPr>
          </w:p>
        </w:tc>
        <w:tc>
          <w:tcPr>
            <w:tcW w:w="3260" w:type="dxa"/>
            <w:tcBorders>
              <w:top w:val="nil"/>
              <w:left w:val="nil"/>
              <w:bottom w:val="single" w:sz="4" w:space="0" w:color="auto"/>
              <w:right w:val="single" w:sz="4" w:space="0" w:color="auto"/>
            </w:tcBorders>
            <w:shd w:val="clear" w:color="auto" w:fill="A8D08D" w:themeFill="accent6" w:themeFillTint="99"/>
            <w:noWrap/>
            <w:vAlign w:val="center"/>
            <w:hideMark/>
          </w:tcPr>
          <w:p w14:paraId="6F4901D8" w14:textId="77777777" w:rsidR="003803F4" w:rsidRPr="0033148D" w:rsidRDefault="003803F4"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3803F4" w:rsidRPr="0033148D" w14:paraId="36AA5042" w14:textId="77777777" w:rsidTr="00315D07">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BAA46F9" w14:textId="2189A457" w:rsidR="003803F4" w:rsidRPr="0033148D" w:rsidRDefault="003803F4" w:rsidP="00315D07">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915" w:type="dxa"/>
            <w:gridSpan w:val="4"/>
            <w:tcBorders>
              <w:top w:val="nil"/>
              <w:left w:val="nil"/>
              <w:bottom w:val="single" w:sz="4" w:space="0" w:color="auto"/>
              <w:right w:val="single" w:sz="4" w:space="0" w:color="auto"/>
            </w:tcBorders>
            <w:shd w:val="clear" w:color="auto" w:fill="auto"/>
            <w:noWrap/>
            <w:vAlign w:val="center"/>
          </w:tcPr>
          <w:p w14:paraId="0E719693" w14:textId="2AE430A7" w:rsidR="003803F4" w:rsidRPr="0033148D" w:rsidRDefault="00A20739"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3803F4" w:rsidRPr="0033148D" w14:paraId="0147641E" w14:textId="77777777" w:rsidTr="00CC05DA">
        <w:trPr>
          <w:trHeight w:val="179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D5B910" w14:textId="72918E30" w:rsidR="003803F4" w:rsidRPr="0033148D" w:rsidRDefault="003803F4" w:rsidP="00315D07">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29606C" w14:textId="77777777" w:rsidR="003803F4" w:rsidRPr="0033148D" w:rsidRDefault="003803F4" w:rsidP="0033148D">
            <w:pPr>
              <w:spacing w:after="0" w:line="240" w:lineRule="auto"/>
              <w:rPr>
                <w:rFonts w:ascii="Calibri" w:eastAsia="Times New Roman" w:hAnsi="Calibri" w:cs="Times New Roman"/>
                <w:bCs/>
                <w:lang w:eastAsia="hr-HR"/>
              </w:rPr>
            </w:pPr>
            <w:r w:rsidRPr="0033148D">
              <w:rPr>
                <w:rFonts w:ascii="Calibri" w:eastAsia="Times New Roman" w:hAnsi="Calibri" w:cs="Times New Roman"/>
                <w:bCs/>
                <w:lang w:eastAsia="hr-HR"/>
              </w:rPr>
              <w:t xml:space="preserve">U 2022. i u 2023. godini komentirana je i usklađena s Uredbom natječajna dokumentacija po </w:t>
            </w:r>
            <w:r w:rsidR="00374330" w:rsidRPr="0033148D">
              <w:rPr>
                <w:rFonts w:ascii="Calibri" w:eastAsia="Times New Roman" w:hAnsi="Calibri" w:cs="Times New Roman"/>
                <w:bCs/>
                <w:lang w:eastAsia="hr-HR"/>
              </w:rPr>
              <w:t>jednog</w:t>
            </w:r>
            <w:r w:rsidRPr="0033148D">
              <w:rPr>
                <w:rFonts w:ascii="Calibri" w:eastAsia="Times New Roman" w:hAnsi="Calibri" w:cs="Times New Roman"/>
                <w:bCs/>
                <w:lang w:eastAsia="hr-HR"/>
              </w:rPr>
              <w:t xml:space="preserve"> javnog trgovačkog društva. </w:t>
            </w:r>
          </w:p>
          <w:p w14:paraId="5664DF42" w14:textId="77777777" w:rsidR="002C79DF" w:rsidRPr="0033148D" w:rsidRDefault="002C79DF" w:rsidP="0033148D">
            <w:pPr>
              <w:spacing w:after="0" w:line="240" w:lineRule="auto"/>
              <w:rPr>
                <w:rFonts w:ascii="Calibri" w:eastAsia="Times New Roman" w:hAnsi="Calibri" w:cs="Times New Roman"/>
                <w:bCs/>
                <w:lang w:eastAsia="hr-HR"/>
              </w:rPr>
            </w:pPr>
          </w:p>
          <w:p w14:paraId="76D5C083" w14:textId="406BBE6E" w:rsidR="003803F4" w:rsidRPr="0033148D" w:rsidRDefault="003803F4" w:rsidP="0033148D">
            <w:pPr>
              <w:spacing w:after="0" w:line="240" w:lineRule="auto"/>
              <w:rPr>
                <w:lang w:val="en-GB"/>
              </w:rPr>
            </w:pPr>
            <w:r w:rsidRPr="00D437CF">
              <w:t xml:space="preserve">U </w:t>
            </w:r>
            <w:r w:rsidR="00885D51" w:rsidRPr="00D437CF">
              <w:t xml:space="preserve">2022. i </w:t>
            </w:r>
            <w:r w:rsidRPr="00D437CF">
              <w:t>2023. godini Ured za udruge održao je</w:t>
            </w:r>
            <w:r w:rsidR="00793541" w:rsidRPr="00D437CF">
              <w:t xml:space="preserve"> </w:t>
            </w:r>
            <w:r w:rsidR="00885D51" w:rsidRPr="00D437CF">
              <w:t xml:space="preserve">po </w:t>
            </w:r>
            <w:r w:rsidRPr="00D437CF">
              <w:t>dvije</w:t>
            </w:r>
            <w:r w:rsidR="00885D51" w:rsidRPr="00D437CF">
              <w:t xml:space="preserve"> (ukupno četiri)</w:t>
            </w:r>
            <w:r w:rsidRPr="00D437CF">
              <w:t xml:space="preserve"> radionice o kriterijima, mjerilima i postupcima financiranja i ugovaranja programa i projekata od interesa za opće dobro koje provode udruge za javna trgovačka društva na kojima je prisustvovalo ukupno </w:t>
            </w:r>
            <w:r w:rsidR="00885D51" w:rsidRPr="00D437CF">
              <w:t xml:space="preserve">54 polaznika (odnosno, 32 polaznika u 2022. i </w:t>
            </w:r>
            <w:r w:rsidRPr="00D437CF">
              <w:t>22 polaznika</w:t>
            </w:r>
            <w:r w:rsidR="00885D51" w:rsidRPr="00D437CF">
              <w:t xml:space="preserve"> u 2023. godini</w:t>
            </w:r>
            <w:r w:rsidR="00885D51" w:rsidRPr="0033148D">
              <w:rPr>
                <w:lang w:val="en-GB"/>
              </w:rPr>
              <w:t>)</w:t>
            </w:r>
            <w:r w:rsidRPr="0033148D">
              <w:rPr>
                <w:lang w:val="en-GB"/>
              </w:rPr>
              <w:t>.</w:t>
            </w:r>
          </w:p>
        </w:tc>
      </w:tr>
      <w:tr w:rsidR="003803F4" w:rsidRPr="0033148D" w14:paraId="609FC375" w14:textId="77777777" w:rsidTr="00315D07">
        <w:trPr>
          <w:trHeight w:val="43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14C69D" w14:textId="49985616" w:rsidR="003803F4" w:rsidRPr="0033148D" w:rsidRDefault="003803F4" w:rsidP="00315D07">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145223" w14:textId="77777777" w:rsidR="003803F4" w:rsidRPr="0033148D" w:rsidRDefault="003803F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3803F4" w:rsidRPr="0033148D" w14:paraId="30120C99" w14:textId="77777777" w:rsidTr="00315D07">
        <w:trPr>
          <w:trHeight w:val="437"/>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C1A48EE" w14:textId="571946F5" w:rsidR="003803F4" w:rsidRPr="0033148D" w:rsidRDefault="003803F4" w:rsidP="00315D07">
            <w:pPr>
              <w:spacing w:line="240" w:lineRule="auto"/>
              <w:rPr>
                <w:rFonts w:ascii="Calibri" w:eastAsia="Times New Roman" w:hAnsi="Calibri" w:cs="Times New Roman"/>
                <w:color w:val="000000"/>
                <w:lang w:eastAsia="hr-HR"/>
              </w:rPr>
            </w:pPr>
            <w:r w:rsidRPr="0033148D">
              <w:rPr>
                <w:b/>
                <w:bCs/>
                <w:lang w:eastAsia="hr-HR"/>
              </w:rPr>
              <w:t>Sljedeći koraci</w:t>
            </w:r>
            <w:r w:rsidR="00315D07">
              <w:rPr>
                <w:i/>
                <w:iCs/>
                <w:lang w:eastAsia="hr-HR"/>
              </w:rPr>
              <w:t>:</w:t>
            </w:r>
          </w:p>
        </w:tc>
        <w:tc>
          <w:tcPr>
            <w:tcW w:w="10915"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6CB2BE" w14:textId="737C3EE3" w:rsidR="003803F4" w:rsidRPr="00D437CF" w:rsidRDefault="00D437CF" w:rsidP="00D437CF">
            <w:pPr>
              <w:spacing w:after="0" w:line="240" w:lineRule="auto"/>
              <w:rPr>
                <w:rFonts w:ascii="Calibri" w:eastAsia="Times New Roman" w:hAnsi="Calibri" w:cs="Times New Roman"/>
                <w:color w:val="000000"/>
                <w:lang w:eastAsia="hr-HR"/>
              </w:rPr>
            </w:pPr>
            <w:r w:rsidRPr="00D437CF">
              <w:t>Ured za udruge p</w:t>
            </w:r>
            <w:r w:rsidR="003803F4" w:rsidRPr="00D437CF">
              <w:t>lanira nastav</w:t>
            </w:r>
            <w:r w:rsidRPr="00D437CF">
              <w:t>iti održavati</w:t>
            </w:r>
            <w:r w:rsidR="003803F4" w:rsidRPr="00D437CF">
              <w:t xml:space="preserve"> edukativn</w:t>
            </w:r>
            <w:r w:rsidRPr="00D437CF">
              <w:t>e</w:t>
            </w:r>
            <w:r w:rsidR="003803F4" w:rsidRPr="00D437CF">
              <w:t xml:space="preserve"> radionic</w:t>
            </w:r>
            <w:r w:rsidRPr="00D437CF">
              <w:t>e za javna trgovačka društva</w:t>
            </w:r>
            <w:r w:rsidR="003803F4" w:rsidRPr="00D437CF">
              <w:t>.</w:t>
            </w:r>
          </w:p>
        </w:tc>
      </w:tr>
    </w:tbl>
    <w:p w14:paraId="3F7A20CD" w14:textId="5ADE0B29" w:rsidR="003803F4" w:rsidRDefault="003803F4" w:rsidP="0033148D">
      <w:pPr>
        <w:spacing w:line="240" w:lineRule="auto"/>
      </w:pPr>
    </w:p>
    <w:p w14:paraId="4B491C6F" w14:textId="77777777" w:rsidR="002E597E" w:rsidRPr="00E60FCA" w:rsidRDefault="002E597E" w:rsidP="00267611">
      <w:pPr>
        <w:pStyle w:val="Heading3"/>
      </w:pPr>
      <w:bookmarkStart w:id="24" w:name="_Toc183591324"/>
      <w:r w:rsidRPr="00E60FCA">
        <w:t>MJERA 8 - UNAPRJEĐENJE NORMATIVNOG OKVIRA ZA MEDIJE</w:t>
      </w:r>
      <w:bookmarkEnd w:id="24"/>
    </w:p>
    <w:tbl>
      <w:tblPr>
        <w:tblW w:w="14596" w:type="dxa"/>
        <w:jc w:val="center"/>
        <w:tblLook w:val="04A0" w:firstRow="1" w:lastRow="0" w:firstColumn="1" w:lastColumn="0" w:noHBand="0" w:noVBand="1"/>
      </w:tblPr>
      <w:tblGrid>
        <w:gridCol w:w="1980"/>
        <w:gridCol w:w="2126"/>
        <w:gridCol w:w="2693"/>
        <w:gridCol w:w="2410"/>
        <w:gridCol w:w="2693"/>
        <w:gridCol w:w="2694"/>
      </w:tblGrid>
      <w:tr w:rsidR="004B2ACE" w:rsidRPr="0033148D" w14:paraId="6CDEEA43" w14:textId="77777777" w:rsidTr="00D82D88">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2CE3BF4" w14:textId="6617CDDE" w:rsidR="004B2ACE" w:rsidRPr="0033148D" w:rsidRDefault="007B60AF" w:rsidP="0033148D">
            <w:pPr>
              <w:spacing w:after="0" w:line="240" w:lineRule="auto"/>
              <w:jc w:val="center"/>
              <w:rPr>
                <w:rFonts w:ascii="Calibri" w:eastAsia="Times New Roman" w:hAnsi="Calibri" w:cs="Times New Roman"/>
                <w:b/>
                <w:bCs/>
                <w:color w:val="000000" w:themeColor="text1"/>
                <w:lang w:eastAsia="hr-HR"/>
              </w:rPr>
            </w:pPr>
            <w:r w:rsidRPr="0033148D">
              <w:rPr>
                <w:b/>
              </w:rPr>
              <w:t xml:space="preserve">Aktivnost </w:t>
            </w:r>
            <w:r w:rsidR="004B2ACE" w:rsidRPr="0033148D">
              <w:rPr>
                <w:b/>
                <w:color w:val="000000" w:themeColor="text1"/>
              </w:rPr>
              <w:t>8.1. Izraditi Zakon o medijima</w:t>
            </w:r>
          </w:p>
        </w:tc>
      </w:tr>
      <w:tr w:rsidR="004B2ACE" w:rsidRPr="0033148D" w14:paraId="3F69123B"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5E00A2E" w14:textId="7D56F10E" w:rsidR="004B2ACE"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F38603" w14:textId="77777777" w:rsidR="004B2ACE" w:rsidRPr="0033148D" w:rsidRDefault="00570552" w:rsidP="0033148D">
            <w:pPr>
              <w:spacing w:after="0" w:line="240" w:lineRule="auto"/>
              <w:rPr>
                <w:rFonts w:ascii="Calibri" w:eastAsia="Times New Roman" w:hAnsi="Calibri" w:cs="Times New Roman"/>
                <w:color w:val="000000"/>
                <w:lang w:eastAsia="hr-HR"/>
              </w:rPr>
            </w:pPr>
            <w:r w:rsidRPr="0033148D">
              <w:rPr>
                <w:color w:val="000000" w:themeColor="text1"/>
              </w:rPr>
              <w:t>Ministarstvo kulture i medija</w:t>
            </w:r>
          </w:p>
        </w:tc>
      </w:tr>
      <w:tr w:rsidR="004B2ACE" w:rsidRPr="0033148D" w14:paraId="19D5331E"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3238150" w14:textId="18CB5253" w:rsidR="004B2ACE"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42490D6"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dionici na koje se primjenjuju odredbe Zakona, tijela državne uprave</w:t>
            </w:r>
          </w:p>
        </w:tc>
      </w:tr>
      <w:tr w:rsidR="004B2ACE" w:rsidRPr="0033148D" w14:paraId="4A83D5A5" w14:textId="77777777" w:rsidTr="0069136C">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316C36B"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3B539838"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103669A"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Agencija za elektroničke medije, Agencija za zaštitu tržišnog natjecanja, Ministarstvo financija, Ministarstvo gospodarstva i održivog razvoja, Povjerenik za informiranje</w:t>
            </w:r>
          </w:p>
        </w:tc>
      </w:tr>
      <w:tr w:rsidR="004B2ACE" w:rsidRPr="0033148D" w14:paraId="183685FB" w14:textId="77777777" w:rsidTr="0069136C">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3EA80185"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4E4F1858"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B65B751"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Hrvatska gospodarska komora, Hrvatska udruga poslodavaca, Hrvatska udruga radijskih nakladnika, Nacionalna udruga televizija, Hrvatsko novinarsko društvo, Nova TV d.d., RTL Hrvatska d.o.o., Hrvatska radiotelevizija, stručnjaci koji djeluju u području provjere medijskih činjenica</w:t>
            </w:r>
          </w:p>
        </w:tc>
      </w:tr>
      <w:tr w:rsidR="004B2ACE" w:rsidRPr="0033148D" w14:paraId="16A9CED1" w14:textId="77777777" w:rsidTr="0069136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274E041" w14:textId="2658C493"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8CC0A0A"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studeni 2021. </w:t>
            </w:r>
          </w:p>
        </w:tc>
      </w:tr>
      <w:tr w:rsidR="004B2ACE" w:rsidRPr="0033148D" w14:paraId="1A72E390" w14:textId="77777777" w:rsidTr="0069136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4BCD0A" w14:textId="74852B30"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705F41D" w14:textId="1516ACB3"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Do odstupanja u rokovima </w:t>
            </w:r>
            <w:r w:rsidR="000E38BD" w:rsidRPr="0033148D">
              <w:rPr>
                <w:rFonts w:ascii="Calibri" w:eastAsia="Times New Roman" w:hAnsi="Calibri" w:cs="Times New Roman"/>
                <w:color w:val="000000"/>
                <w:lang w:eastAsia="hr-HR"/>
              </w:rPr>
              <w:t xml:space="preserve">došlo je </w:t>
            </w:r>
            <w:r w:rsidRPr="0033148D">
              <w:rPr>
                <w:rFonts w:ascii="Calibri" w:eastAsia="Times New Roman" w:hAnsi="Calibri" w:cs="Times New Roman"/>
                <w:color w:val="000000"/>
                <w:lang w:eastAsia="hr-HR"/>
              </w:rPr>
              <w:t>zbog rada na Europskom aktu o slobodi medija</w:t>
            </w:r>
            <w:r w:rsidR="000E38BD" w:rsidRPr="0033148D">
              <w:rPr>
                <w:rFonts w:ascii="Calibri" w:eastAsia="Times New Roman" w:hAnsi="Calibri" w:cs="Times New Roman"/>
                <w:color w:val="000000"/>
                <w:lang w:eastAsia="hr-HR"/>
              </w:rPr>
              <w:t>,</w:t>
            </w:r>
            <w:r w:rsidRPr="0033148D">
              <w:rPr>
                <w:rFonts w:ascii="Calibri" w:eastAsia="Times New Roman" w:hAnsi="Calibri" w:cs="Times New Roman"/>
                <w:color w:val="000000"/>
                <w:lang w:eastAsia="hr-HR"/>
              </w:rPr>
              <w:t xml:space="preserve"> čije će odredbe u određenoj mjeri biti implementirane i u ovaj zakon </w:t>
            </w:r>
          </w:p>
        </w:tc>
      </w:tr>
      <w:tr w:rsidR="004B2ACE" w:rsidRPr="0033148D" w14:paraId="0AA8EB6B" w14:textId="77777777" w:rsidTr="0069136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490DBC9" w14:textId="77777777"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44C8B02" w14:textId="77777777" w:rsidR="00EC5FF7" w:rsidRPr="0033148D" w:rsidRDefault="00EC5FF7" w:rsidP="0033148D">
            <w:pPr>
              <w:pStyle w:val="ListParagraph"/>
              <w:numPr>
                <w:ilvl w:val="0"/>
                <w:numId w:val="23"/>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Uspostavljanje radne skupine za izradu nacrta Zakona o medijima</w:t>
            </w:r>
          </w:p>
          <w:p w14:paraId="077D8F2A" w14:textId="77777777" w:rsidR="00EC5FF7" w:rsidRPr="0033148D" w:rsidRDefault="00EC5FF7" w:rsidP="0033148D">
            <w:pPr>
              <w:pStyle w:val="ListParagraph"/>
              <w:numPr>
                <w:ilvl w:val="0"/>
                <w:numId w:val="23"/>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Izrađen nacrt Zakona o medijima </w:t>
            </w:r>
          </w:p>
          <w:p w14:paraId="76EA0403" w14:textId="77777777" w:rsidR="004B2ACE" w:rsidRPr="0033148D" w:rsidRDefault="00EC5FF7" w:rsidP="0033148D">
            <w:pPr>
              <w:pStyle w:val="ListParagraph"/>
              <w:numPr>
                <w:ilvl w:val="0"/>
                <w:numId w:val="23"/>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Nacrt Zakona o medijima koji je usvojen na sjednici Vlade</w:t>
            </w:r>
          </w:p>
        </w:tc>
      </w:tr>
      <w:tr w:rsidR="004B2ACE" w:rsidRPr="0033148D" w14:paraId="1832F2A4" w14:textId="77777777" w:rsidTr="007D0017">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050057E" w14:textId="5384CFF2" w:rsidR="004B2ACE" w:rsidRPr="0033148D" w:rsidRDefault="004B2ACE"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8EF6700"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534F35A1"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20C93808"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62775CE0"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4B2ACE" w:rsidRPr="0033148D" w14:paraId="7630C56C" w14:textId="77777777" w:rsidTr="007D0017">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75933B51"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2C57860B"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34BE11F6"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693" w:type="dxa"/>
            <w:tcBorders>
              <w:top w:val="nil"/>
              <w:left w:val="nil"/>
              <w:bottom w:val="single" w:sz="4" w:space="0" w:color="auto"/>
              <w:right w:val="single" w:sz="4" w:space="0" w:color="auto"/>
            </w:tcBorders>
            <w:shd w:val="clear" w:color="auto" w:fill="auto"/>
            <w:noWrap/>
            <w:vAlign w:val="center"/>
            <w:hideMark/>
          </w:tcPr>
          <w:p w14:paraId="7AC3EC85"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4955A892"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r>
      <w:tr w:rsidR="004B2ACE" w:rsidRPr="0033148D" w14:paraId="58F678E3" w14:textId="77777777" w:rsidTr="00D82D88">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812BF03" w14:textId="69E5FD8A"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1236BCD2" w14:textId="77DE52C7" w:rsidR="004B2ACE" w:rsidRPr="0033148D" w:rsidRDefault="00A20739"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4B2ACE" w:rsidRPr="0033148D" w14:paraId="38936579"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28889F0" w14:textId="2A38F368" w:rsidR="004B2ACE" w:rsidRPr="0033148D" w:rsidRDefault="004B2ACE" w:rsidP="00D82D88">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207E20" w14:textId="77777777" w:rsidR="004B2ACE" w:rsidRPr="0033148D" w:rsidRDefault="004B2ACE" w:rsidP="00E60FC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Osnovana radna skupina te izrađen radni tekst nacrta prijedloga Zakona o medijima </w:t>
            </w:r>
          </w:p>
        </w:tc>
      </w:tr>
      <w:tr w:rsidR="004B2ACE" w:rsidRPr="0033148D" w14:paraId="7AB03922"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9A8A741" w14:textId="65DEB259" w:rsidR="004B2ACE" w:rsidRPr="0033148D" w:rsidRDefault="004B2ACE" w:rsidP="00D82D88">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625295A" w14:textId="77777777" w:rsidR="004B2ACE" w:rsidRPr="0033148D" w:rsidRDefault="00570552" w:rsidP="00E60FC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2ACE" w:rsidRPr="0033148D" w14:paraId="7E882686"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58CCC94" w14:textId="1AF4E48A" w:rsidR="004B2ACE" w:rsidRPr="0033148D" w:rsidRDefault="004B2ACE" w:rsidP="00D82D88">
            <w:pPr>
              <w:spacing w:after="0" w:line="240" w:lineRule="auto"/>
              <w:rPr>
                <w:rFonts w:ascii="Calibri" w:eastAsia="Times New Roman" w:hAnsi="Calibri" w:cs="Times New Roman"/>
                <w:color w:val="000000"/>
                <w:lang w:eastAsia="hr-HR"/>
              </w:rPr>
            </w:pPr>
            <w:r w:rsidRPr="0033148D">
              <w:rPr>
                <w:b/>
                <w:bCs/>
                <w:lang w:eastAsia="hr-HR"/>
              </w:rPr>
              <w:t>Sljedeći koraci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913417" w14:textId="3B87F8BC" w:rsidR="004B2ACE" w:rsidRPr="0033148D" w:rsidRDefault="000E38BD" w:rsidP="00E60FC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Nastavlja se rad na izradi Zakona.</w:t>
            </w:r>
          </w:p>
        </w:tc>
      </w:tr>
    </w:tbl>
    <w:p w14:paraId="483AF085" w14:textId="77777777" w:rsidR="004B2ACE" w:rsidRPr="0033148D" w:rsidRDefault="004B2ACE" w:rsidP="0033148D">
      <w:pPr>
        <w:spacing w:line="240" w:lineRule="auto"/>
        <w:rPr>
          <w:b/>
        </w:rPr>
      </w:pPr>
    </w:p>
    <w:tbl>
      <w:tblPr>
        <w:tblW w:w="14596" w:type="dxa"/>
        <w:jc w:val="center"/>
        <w:tblLook w:val="04A0" w:firstRow="1" w:lastRow="0" w:firstColumn="1" w:lastColumn="0" w:noHBand="0" w:noVBand="1"/>
      </w:tblPr>
      <w:tblGrid>
        <w:gridCol w:w="1980"/>
        <w:gridCol w:w="2126"/>
        <w:gridCol w:w="2693"/>
        <w:gridCol w:w="2410"/>
        <w:gridCol w:w="2552"/>
        <w:gridCol w:w="2835"/>
      </w:tblGrid>
      <w:tr w:rsidR="004B2ACE" w:rsidRPr="0033148D" w14:paraId="0095E492" w14:textId="77777777" w:rsidTr="00D82D88">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61A8D0" w14:textId="5B48C968" w:rsidR="004B2ACE" w:rsidRPr="0033148D" w:rsidRDefault="007B60AF" w:rsidP="0033148D">
            <w:pPr>
              <w:spacing w:after="0" w:line="240" w:lineRule="auto"/>
              <w:jc w:val="center"/>
              <w:rPr>
                <w:rFonts w:ascii="Calibri" w:eastAsia="Times New Roman" w:hAnsi="Calibri" w:cs="Times New Roman"/>
                <w:b/>
                <w:bCs/>
                <w:color w:val="000000" w:themeColor="text1"/>
                <w:lang w:eastAsia="hr-HR"/>
              </w:rPr>
            </w:pPr>
            <w:r w:rsidRPr="0033148D">
              <w:rPr>
                <w:b/>
              </w:rPr>
              <w:t xml:space="preserve">Aktivnost </w:t>
            </w:r>
            <w:r w:rsidR="004B2ACE" w:rsidRPr="0033148D">
              <w:rPr>
                <w:b/>
                <w:color w:val="000000" w:themeColor="text1"/>
              </w:rPr>
              <w:t xml:space="preserve">8.2. Unaprijediti zakonske odredbe u vezi s objavom vlasništva medija i izvora financiranja </w:t>
            </w:r>
          </w:p>
        </w:tc>
      </w:tr>
      <w:tr w:rsidR="004B2ACE" w:rsidRPr="0033148D" w14:paraId="5AA57FA7"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E02439A" w14:textId="3EF61835" w:rsidR="004B2ACE"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E86CDE" w14:textId="77777777" w:rsidR="004B2ACE" w:rsidRPr="0033148D" w:rsidRDefault="004D273F" w:rsidP="0033148D">
            <w:pPr>
              <w:spacing w:after="0" w:line="240" w:lineRule="auto"/>
              <w:rPr>
                <w:rFonts w:ascii="Calibri" w:eastAsia="Times New Roman" w:hAnsi="Calibri" w:cs="Times New Roman"/>
                <w:color w:val="000000"/>
                <w:lang w:eastAsia="hr-HR"/>
              </w:rPr>
            </w:pPr>
            <w:r w:rsidRPr="0033148D">
              <w:rPr>
                <w:color w:val="000000" w:themeColor="text1"/>
              </w:rPr>
              <w:t>Ministarstvo kulture i medija</w:t>
            </w:r>
          </w:p>
        </w:tc>
      </w:tr>
      <w:tr w:rsidR="004B2ACE" w:rsidRPr="0033148D" w14:paraId="3AFC2853"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EFC0C9E" w14:textId="0F1FBC10" w:rsidR="004B2ACE"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67CC0C5"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Agencija za elektroničke medije, Hrvatska gospodarska komora</w:t>
            </w:r>
          </w:p>
        </w:tc>
      </w:tr>
      <w:tr w:rsidR="004B2ACE" w:rsidRPr="0033148D" w14:paraId="2E90E785" w14:textId="77777777" w:rsidTr="000E38BD">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6A3BB0F"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024C3686"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0D460C3"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Agencija za elektroničke medije, Agencija za zaštitu tržišnog natjecanja, Ministarstvo financija, Ministarstvo gospodarstva i održivog razvoja, Povjerenik za informiranje</w:t>
            </w:r>
          </w:p>
        </w:tc>
      </w:tr>
      <w:tr w:rsidR="004B2ACE" w:rsidRPr="0033148D" w14:paraId="0BF54506" w14:textId="77777777" w:rsidTr="000E38BD">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080E9929"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33166415"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D0A3737"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Hrvatska gospodarska komora, Hrvatska udruga poslodavaca, Hrvatska udruga radijskih nakladnika, Nacionalna udruga televizija, Hrvatsko novinarsko društvo, Nova TV d.d., RTL Hrvatska d.o.o., Hrvatska radiotelevizija, stručnjaci koji djeluju u području provjere medijskih činjenica</w:t>
            </w:r>
          </w:p>
        </w:tc>
      </w:tr>
      <w:tr w:rsidR="004B2ACE" w:rsidRPr="0033148D" w14:paraId="4D7B2393" w14:textId="77777777" w:rsidTr="000E38BD">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91F605F" w14:textId="72609123"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3C0FB71"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studeni 2021. </w:t>
            </w:r>
          </w:p>
        </w:tc>
      </w:tr>
      <w:tr w:rsidR="004B2ACE" w:rsidRPr="0033148D" w14:paraId="48D88471" w14:textId="77777777" w:rsidTr="000E38BD">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DE168E2" w14:textId="69B6183A"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B81AD0C" w14:textId="09CC4802" w:rsidR="004B2ACE" w:rsidRPr="0033148D" w:rsidRDefault="000E38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Do odstupanja u rokovima došlo je zbog rada na Europskom aktu o slobodi medija, čije će odredbe u određenoj mjeri biti implementirane i u ovaj zakon.</w:t>
            </w:r>
          </w:p>
        </w:tc>
      </w:tr>
      <w:tr w:rsidR="004B2ACE" w:rsidRPr="0033148D" w14:paraId="07AE7DCB" w14:textId="77777777" w:rsidTr="000E38BD">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55DD026" w14:textId="77777777"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B070743" w14:textId="77777777" w:rsidR="00EC5FF7" w:rsidRPr="0033148D" w:rsidRDefault="00EC5FF7"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Prijedlog izmjena relevantnog zakonodavnog okvira koji će omogućiti objavu podataka o vlasnicima svih medija do razine fizičkih osoba (očevidnik u ponovno upotrebljivom i lako </w:t>
            </w:r>
            <w:proofErr w:type="spellStart"/>
            <w:r w:rsidRPr="0033148D">
              <w:rPr>
                <w:rFonts w:ascii="Calibri" w:eastAsia="Times New Roman" w:hAnsi="Calibri" w:cs="Times New Roman"/>
                <w:color w:val="000000"/>
                <w:lang w:eastAsia="hr-HR"/>
              </w:rPr>
              <w:t>pretraživom</w:t>
            </w:r>
            <w:proofErr w:type="spellEnd"/>
            <w:r w:rsidRPr="0033148D">
              <w:rPr>
                <w:rFonts w:ascii="Calibri" w:eastAsia="Times New Roman" w:hAnsi="Calibri" w:cs="Times New Roman"/>
                <w:color w:val="000000"/>
                <w:lang w:eastAsia="hr-HR"/>
              </w:rPr>
              <w:t xml:space="preserve"> formatu otvorenog koda) i izvora financiranja medija.</w:t>
            </w:r>
          </w:p>
        </w:tc>
      </w:tr>
      <w:tr w:rsidR="004B2ACE" w:rsidRPr="0033148D" w14:paraId="593E5075" w14:textId="77777777" w:rsidTr="000E38BD">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ED93668" w14:textId="0DC0E004" w:rsidR="004B2ACE" w:rsidRPr="0033148D" w:rsidRDefault="004B2ACE"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E0942D1"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45542AF"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5EC3009"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0FB7181"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4B2ACE" w:rsidRPr="0033148D" w14:paraId="1561079C" w14:textId="77777777" w:rsidTr="000E38BD">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6A1763D"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B41E4EB"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69F7CE48"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552" w:type="dxa"/>
            <w:tcBorders>
              <w:top w:val="nil"/>
              <w:left w:val="nil"/>
              <w:bottom w:val="single" w:sz="4" w:space="0" w:color="auto"/>
              <w:right w:val="single" w:sz="4" w:space="0" w:color="auto"/>
            </w:tcBorders>
            <w:shd w:val="clear" w:color="auto" w:fill="auto"/>
            <w:noWrap/>
            <w:vAlign w:val="center"/>
            <w:hideMark/>
          </w:tcPr>
          <w:p w14:paraId="62B181DC"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4ECFCFBB"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r>
      <w:tr w:rsidR="004B2ACE" w:rsidRPr="0033148D" w14:paraId="6D849B41" w14:textId="77777777" w:rsidTr="00D82D88">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66DBADF" w14:textId="3AFF3BB5"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7AA6D69F" w14:textId="63828557" w:rsidR="004B2ACE" w:rsidRPr="0033148D" w:rsidRDefault="00A20739"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4B2ACE" w:rsidRPr="0033148D" w14:paraId="75A23053"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344F272" w14:textId="1EBA2AA2" w:rsidR="004B2ACE" w:rsidRPr="0033148D" w:rsidRDefault="004B2ACE" w:rsidP="00D82D88">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15AD32"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Osnovana radna skupina te izrađen radni tekst nacrta prijedloga Zakona o medijima </w:t>
            </w:r>
          </w:p>
        </w:tc>
      </w:tr>
      <w:tr w:rsidR="004B2ACE" w:rsidRPr="0033148D" w14:paraId="2AC806AB"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A24E632" w14:textId="5CABAA5B" w:rsidR="004B2ACE" w:rsidRPr="0033148D" w:rsidRDefault="004B2ACE" w:rsidP="00D82D88">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A00AB8" w14:textId="77777777" w:rsidR="004B2ACE"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2ACE" w:rsidRPr="0033148D" w14:paraId="64E5B752"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6B48F15" w14:textId="2BAD4B52" w:rsidR="004B2ACE" w:rsidRPr="0033148D" w:rsidRDefault="004B2ACE" w:rsidP="00D82D88">
            <w:pPr>
              <w:spacing w:line="240" w:lineRule="auto"/>
              <w:rPr>
                <w:rFonts w:ascii="Calibri" w:eastAsia="Times New Roman" w:hAnsi="Calibri" w:cs="Times New Roman"/>
                <w:color w:val="000000"/>
                <w:lang w:eastAsia="hr-HR"/>
              </w:rPr>
            </w:pPr>
            <w:r w:rsidRPr="0033148D">
              <w:rPr>
                <w:b/>
                <w:bCs/>
                <w:lang w:eastAsia="hr-HR"/>
              </w:rPr>
              <w:t xml:space="preserve">Sljedeći koraci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E204F9" w14:textId="37A3E8A9" w:rsidR="004B2ACE" w:rsidRPr="0033148D" w:rsidRDefault="000E38B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Nastavlja se rad na izradi Zakona.</w:t>
            </w:r>
          </w:p>
        </w:tc>
      </w:tr>
    </w:tbl>
    <w:p w14:paraId="5BB6B016" w14:textId="77777777" w:rsidR="004B2ACE" w:rsidRPr="0033148D" w:rsidRDefault="004B2ACE" w:rsidP="0033148D">
      <w:pPr>
        <w:spacing w:line="240" w:lineRule="auto"/>
        <w:rPr>
          <w:b/>
        </w:rPr>
      </w:pPr>
    </w:p>
    <w:tbl>
      <w:tblPr>
        <w:tblW w:w="14596" w:type="dxa"/>
        <w:jc w:val="center"/>
        <w:tblLook w:val="04A0" w:firstRow="1" w:lastRow="0" w:firstColumn="1" w:lastColumn="0" w:noHBand="0" w:noVBand="1"/>
      </w:tblPr>
      <w:tblGrid>
        <w:gridCol w:w="1980"/>
        <w:gridCol w:w="2126"/>
        <w:gridCol w:w="2693"/>
        <w:gridCol w:w="2410"/>
        <w:gridCol w:w="2552"/>
        <w:gridCol w:w="2835"/>
      </w:tblGrid>
      <w:tr w:rsidR="004B2ACE" w:rsidRPr="0033148D" w14:paraId="3F429C1E" w14:textId="77777777" w:rsidTr="00D82D88">
        <w:trPr>
          <w:trHeight w:val="429"/>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D41BFE" w14:textId="666E062A" w:rsidR="004B2ACE" w:rsidRPr="0033148D" w:rsidRDefault="007B60AF" w:rsidP="0033148D">
            <w:pPr>
              <w:spacing w:line="240" w:lineRule="auto"/>
              <w:jc w:val="center"/>
              <w:rPr>
                <w:b/>
                <w:color w:val="000000" w:themeColor="text1"/>
              </w:rPr>
            </w:pPr>
            <w:r w:rsidRPr="0033148D">
              <w:rPr>
                <w:b/>
              </w:rPr>
              <w:t xml:space="preserve">Aktivnost </w:t>
            </w:r>
            <w:r w:rsidR="004B2ACE" w:rsidRPr="0033148D">
              <w:rPr>
                <w:b/>
                <w:color w:val="000000" w:themeColor="text1"/>
              </w:rPr>
              <w:t>8.3. Uspostava sustava provjere medijskih činjenica</w:t>
            </w:r>
          </w:p>
        </w:tc>
      </w:tr>
      <w:tr w:rsidR="004B2ACE" w:rsidRPr="0033148D" w14:paraId="06BE4FD8" w14:textId="77777777" w:rsidTr="00D82D88">
        <w:trPr>
          <w:trHeight w:val="42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A342D9" w14:textId="2103AC85" w:rsidR="004B2ACE"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3484651" w14:textId="77777777" w:rsidR="004B2ACE" w:rsidRPr="0033148D" w:rsidRDefault="004D55F7" w:rsidP="0033148D">
            <w:pPr>
              <w:spacing w:after="0" w:line="240" w:lineRule="auto"/>
              <w:rPr>
                <w:rFonts w:ascii="Calibri" w:eastAsia="Times New Roman" w:hAnsi="Calibri" w:cs="Times New Roman"/>
                <w:color w:val="000000"/>
                <w:lang w:eastAsia="hr-HR"/>
              </w:rPr>
            </w:pPr>
            <w:r w:rsidRPr="0033148D">
              <w:rPr>
                <w:color w:val="000000" w:themeColor="text1"/>
              </w:rPr>
              <w:t>Ministarstvo kulture i medija</w:t>
            </w:r>
          </w:p>
        </w:tc>
      </w:tr>
      <w:tr w:rsidR="004B2ACE" w:rsidRPr="0033148D" w14:paraId="172FC7B8" w14:textId="77777777" w:rsidTr="00D82D88">
        <w:trPr>
          <w:trHeight w:val="42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115E601" w14:textId="26525DE0" w:rsidR="004B2ACE"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0256F68"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color w:val="000000" w:themeColor="text1"/>
              </w:rPr>
              <w:t>Agencija za elektroničke medije</w:t>
            </w:r>
          </w:p>
        </w:tc>
      </w:tr>
      <w:tr w:rsidR="004B2ACE" w:rsidRPr="0033148D" w14:paraId="13B9609A" w14:textId="77777777" w:rsidTr="0069136C">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F0D96A4"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758DF47"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77A8E7E" w14:textId="7C725DF7" w:rsidR="004B2ACE"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2ACE" w:rsidRPr="0033148D" w14:paraId="323E5CAD" w14:textId="77777777" w:rsidTr="0069136C">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49BBABD7"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3FBC4447"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4942439" w14:textId="19A979ED" w:rsidR="004B2ACE"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2ACE" w:rsidRPr="0033148D" w14:paraId="1D9C17BB" w14:textId="77777777" w:rsidTr="003D5951">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602AF78" w14:textId="4DB141BD"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0126AE8"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2022.</w:t>
            </w:r>
          </w:p>
        </w:tc>
      </w:tr>
      <w:tr w:rsidR="004B2ACE" w:rsidRPr="0033148D" w14:paraId="32B8C7AE" w14:textId="77777777" w:rsidTr="0069136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C735476" w14:textId="299368CB"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F7BFD7F" w14:textId="77777777" w:rsidR="004B2ACE" w:rsidRPr="0033148D" w:rsidRDefault="004B2ACE"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Kompletna mjera završit će do polovice 2026. godine, a do kraja 2023. izrađena je studija „Jačanja otpornosti društva na dezinformacije“, izrađena je procedura i pravila te donijete odluke temeljem provedenih javnih poziva o izboru pravnih osoba koje će se baviti provjerom medijskih informacija </w:t>
            </w:r>
          </w:p>
        </w:tc>
      </w:tr>
      <w:tr w:rsidR="004B2ACE" w:rsidRPr="0033148D" w14:paraId="254CB9A3" w14:textId="77777777" w:rsidTr="0069136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5D1302E" w14:textId="77777777" w:rsidR="004B2ACE" w:rsidRPr="0033148D" w:rsidRDefault="004B2ACE"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53249F9" w14:textId="77777777" w:rsidR="00156A18" w:rsidRPr="0033148D" w:rsidRDefault="004B2ACE" w:rsidP="0033148D">
            <w:pPr>
              <w:spacing w:after="0" w:line="240" w:lineRule="auto"/>
            </w:pPr>
            <w:r w:rsidRPr="0033148D">
              <w:t xml:space="preserve">Mjere će se provoditi uspostavom sustava provjere medijskih činjenica od strane Agencije za elektroničke medije uključujući izradu procedura i pravila, izradu upisnika te jačanje kapaciteta digitalnih kompetencija </w:t>
            </w:r>
            <w:proofErr w:type="spellStart"/>
            <w:r w:rsidRPr="0033148D">
              <w:t>provjeritelja</w:t>
            </w:r>
            <w:proofErr w:type="spellEnd"/>
            <w:r w:rsidRPr="0033148D">
              <w:t xml:space="preserve"> činjenica, kao i razvoj tehnoloških programa, platforma i sustava komunikacije s medijima, stvaranja baze podataka</w:t>
            </w:r>
          </w:p>
        </w:tc>
      </w:tr>
      <w:tr w:rsidR="004B2ACE" w:rsidRPr="0033148D" w14:paraId="5A274A62" w14:textId="77777777" w:rsidTr="0069136C">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4214053" w14:textId="2D5F883D" w:rsidR="004B2ACE" w:rsidRPr="0033148D" w:rsidRDefault="004B2ACE"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ADADF5"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33F768F2"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3581D6B2"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11628C7" w14:textId="77777777" w:rsidR="004B2ACE" w:rsidRPr="0033148D" w:rsidRDefault="004B2ACE"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4B2ACE" w:rsidRPr="0033148D" w14:paraId="4CBFAD84" w14:textId="77777777" w:rsidTr="007D0017">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305D879D" w14:textId="77777777" w:rsidR="004B2ACE" w:rsidRPr="0033148D" w:rsidRDefault="004B2ACE"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F286F19"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1D3ADC7D"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FFE599" w:themeFill="accent4" w:themeFillTint="66"/>
            <w:noWrap/>
            <w:vAlign w:val="center"/>
            <w:hideMark/>
          </w:tcPr>
          <w:p w14:paraId="7629690B"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835" w:type="dxa"/>
            <w:tcBorders>
              <w:top w:val="nil"/>
              <w:left w:val="nil"/>
              <w:bottom w:val="single" w:sz="4" w:space="0" w:color="auto"/>
              <w:right w:val="single" w:sz="4" w:space="0" w:color="auto"/>
            </w:tcBorders>
            <w:shd w:val="clear" w:color="auto" w:fill="auto"/>
            <w:noWrap/>
            <w:vAlign w:val="center"/>
            <w:hideMark/>
          </w:tcPr>
          <w:p w14:paraId="2DAFCFB2" w14:textId="77777777" w:rsidR="004B2ACE" w:rsidRPr="0033148D" w:rsidRDefault="004B2ACE" w:rsidP="0033148D">
            <w:pPr>
              <w:spacing w:after="0" w:line="240" w:lineRule="auto"/>
              <w:jc w:val="center"/>
              <w:rPr>
                <w:rFonts w:ascii="Calibri" w:eastAsia="Times New Roman" w:hAnsi="Calibri" w:cs="Times New Roman"/>
                <w:color w:val="000000"/>
                <w:lang w:eastAsia="hr-HR"/>
              </w:rPr>
            </w:pPr>
          </w:p>
        </w:tc>
      </w:tr>
      <w:tr w:rsidR="004B2ACE" w:rsidRPr="0033148D" w14:paraId="007982C2" w14:textId="77777777" w:rsidTr="003D5951">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070703A" w14:textId="38184004"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248E41A8" w14:textId="0681B6EA" w:rsidR="004B2ACE" w:rsidRPr="0033148D" w:rsidRDefault="00A20739"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4B2ACE" w:rsidRPr="0033148D" w14:paraId="57F5C3DF" w14:textId="77777777" w:rsidTr="00F66E74">
        <w:trPr>
          <w:trHeight w:val="44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99ECD8" w14:textId="4E21D261" w:rsidR="004B2ACE" w:rsidRPr="0033148D" w:rsidRDefault="004B2ACE" w:rsidP="00D82D88">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20064B" w14:textId="77777777" w:rsidR="00633D91" w:rsidRPr="0033148D" w:rsidRDefault="00911B2C" w:rsidP="0033148D">
            <w:pPr>
              <w:spacing w:after="0" w:line="240" w:lineRule="auto"/>
              <w:rPr>
                <w:rFonts w:ascii="Calibri" w:eastAsia="Times New Roman" w:hAnsi="Calibri" w:cs="Times New Roman"/>
                <w:color w:val="000000"/>
                <w:lang w:eastAsia="hr-HR"/>
              </w:rPr>
            </w:pPr>
            <w:r w:rsidRPr="0033148D">
              <w:t xml:space="preserve">Mjere se provodila uspostavom sustava provjere medijskih činjenica od strane Agencije za elektroničke medije uključujući izradu procedura i pravila, izradu upisnika te jačanje kapaciteta digitalnih kompetencija </w:t>
            </w:r>
            <w:proofErr w:type="spellStart"/>
            <w:r w:rsidRPr="0033148D">
              <w:t>provjeritelja</w:t>
            </w:r>
            <w:proofErr w:type="spellEnd"/>
            <w:r w:rsidRPr="0033148D">
              <w:t xml:space="preserve"> </w:t>
            </w:r>
            <w:r w:rsidRPr="0033148D">
              <w:lastRenderedPageBreak/>
              <w:t xml:space="preserve">činjenica, kao i razvoj tehnoloških programa, platforma i sustava komunikacije s medijima, stvaranja baze podataka. </w:t>
            </w:r>
            <w:r w:rsidRPr="0033148D">
              <w:rPr>
                <w:rFonts w:ascii="Calibri" w:eastAsia="Times New Roman" w:hAnsi="Calibri" w:cs="Times New Roman"/>
                <w:color w:val="000000"/>
                <w:lang w:eastAsia="hr-HR"/>
              </w:rPr>
              <w:t xml:space="preserve">Kompletna mjera završit će do polovice 2026. godine, a do kraja 2023. izrađena je studija „Jačanja otpornosti društva na dezinformacije“, izrađena je procedura i pravila te donijete odluke temeljem provedenih javnih poziva o izboru pravnih osoba koje će se baviti provjerom medijskih informacija. </w:t>
            </w:r>
          </w:p>
          <w:p w14:paraId="339E38CC" w14:textId="77777777" w:rsidR="004B2ACE" w:rsidRPr="0033148D" w:rsidRDefault="004B2ACE" w:rsidP="0033148D">
            <w:pPr>
              <w:spacing w:after="0" w:line="240" w:lineRule="auto"/>
            </w:pPr>
            <w:r w:rsidRPr="0033148D">
              <w:rPr>
                <w:rFonts w:ascii="Calibri" w:eastAsia="Times New Roman" w:hAnsi="Calibri" w:cs="Times New Roman"/>
                <w:color w:val="000000"/>
                <w:lang w:eastAsia="hr-HR"/>
              </w:rPr>
              <w:t xml:space="preserve">Sve informacije dostupne su na stranici </w:t>
            </w:r>
            <w:hyperlink r:id="rId33" w:history="1">
              <w:r w:rsidRPr="0033148D">
                <w:rPr>
                  <w:rStyle w:val="Hyperlink"/>
                  <w:rFonts w:ascii="Calibri" w:eastAsia="Times New Roman" w:hAnsi="Calibri" w:cs="Times New Roman"/>
                  <w:lang w:eastAsia="hr-HR"/>
                </w:rPr>
                <w:t>https://npoo.aem.hr/</w:t>
              </w:r>
            </w:hyperlink>
            <w:r w:rsidRPr="0033148D">
              <w:rPr>
                <w:rFonts w:ascii="Calibri" w:eastAsia="Times New Roman" w:hAnsi="Calibri" w:cs="Times New Roman"/>
                <w:color w:val="000000"/>
                <w:lang w:eastAsia="hr-HR"/>
              </w:rPr>
              <w:t xml:space="preserve"> </w:t>
            </w:r>
          </w:p>
        </w:tc>
      </w:tr>
      <w:tr w:rsidR="004B2ACE" w:rsidRPr="0033148D" w14:paraId="710C9724" w14:textId="77777777" w:rsidTr="00D82D88">
        <w:trPr>
          <w:trHeight w:val="39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A683315" w14:textId="0485FBD8" w:rsidR="004B2ACE" w:rsidRPr="0033148D" w:rsidRDefault="004B2ACE"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7C63C6" w14:textId="77777777" w:rsidR="004B2ACE"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4B2ACE" w:rsidRPr="0033148D" w14:paraId="68389A90" w14:textId="77777777" w:rsidTr="00D82D88">
        <w:trPr>
          <w:trHeight w:val="397"/>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0B0F35B8" w14:textId="50827791" w:rsidR="004B2ACE" w:rsidRPr="0033148D" w:rsidRDefault="004B2ACE" w:rsidP="00D82D88">
            <w:pPr>
              <w:spacing w:line="240" w:lineRule="auto"/>
              <w:rPr>
                <w:rFonts w:ascii="Calibri" w:eastAsia="Times New Roman" w:hAnsi="Calibri" w:cs="Times New Roman"/>
                <w:color w:val="000000"/>
                <w:lang w:eastAsia="hr-HR"/>
              </w:rPr>
            </w:pPr>
            <w:r w:rsidRPr="0033148D">
              <w:rPr>
                <w:b/>
                <w:bCs/>
                <w:lang w:eastAsia="hr-HR"/>
              </w:rPr>
              <w:t xml:space="preserve">Sljedeći koraci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18C8E36" w14:textId="77777777" w:rsidR="004B2ACE" w:rsidRPr="0033148D" w:rsidRDefault="004B2AC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izradi je zajednička platforma kao i dodatno usavršavanje osoba koje će se baviti ovom aktivnošću</w:t>
            </w:r>
          </w:p>
        </w:tc>
      </w:tr>
    </w:tbl>
    <w:p w14:paraId="5E8E6432" w14:textId="77777777" w:rsidR="00CB04BD" w:rsidRPr="0033148D" w:rsidRDefault="00CB04BD" w:rsidP="0033148D">
      <w:pPr>
        <w:spacing w:line="240" w:lineRule="auto"/>
      </w:pPr>
    </w:p>
    <w:p w14:paraId="17A6C2DC" w14:textId="77777777" w:rsidR="002E597E" w:rsidRPr="007F378A" w:rsidRDefault="002E597E" w:rsidP="00267611">
      <w:pPr>
        <w:pStyle w:val="Heading3"/>
        <w:rPr>
          <w:lang w:eastAsia="hr-HR"/>
        </w:rPr>
      </w:pPr>
      <w:bookmarkStart w:id="25" w:name="_Toc183591325"/>
      <w:r w:rsidRPr="007F378A">
        <w:t xml:space="preserve">MJERA 9 - </w:t>
      </w:r>
      <w:r w:rsidRPr="007F378A">
        <w:rPr>
          <w:lang w:eastAsia="hr-HR"/>
        </w:rPr>
        <w:t>UNAPRJEĐENJE SREDIŠNJEG KATALOGA SLUŽBENIH DOKUMENATA</w:t>
      </w:r>
      <w:bookmarkEnd w:id="25"/>
    </w:p>
    <w:tbl>
      <w:tblPr>
        <w:tblW w:w="14596" w:type="dxa"/>
        <w:jc w:val="center"/>
        <w:tblLook w:val="04A0" w:firstRow="1" w:lastRow="0" w:firstColumn="1" w:lastColumn="0" w:noHBand="0" w:noVBand="1"/>
      </w:tblPr>
      <w:tblGrid>
        <w:gridCol w:w="1980"/>
        <w:gridCol w:w="2126"/>
        <w:gridCol w:w="2693"/>
        <w:gridCol w:w="2410"/>
        <w:gridCol w:w="2552"/>
        <w:gridCol w:w="2835"/>
      </w:tblGrid>
      <w:tr w:rsidR="00EB1790" w:rsidRPr="0033148D" w14:paraId="710A782C" w14:textId="77777777" w:rsidTr="007B60AF">
        <w:trPr>
          <w:trHeight w:val="70"/>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CE179CC" w14:textId="4093FB20"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9.1. Unaprijediti Središnji katalog (unapređenje sustava upravljanja službenim dokumentima RH s</w:t>
            </w:r>
            <w:r w:rsidR="00F355E7" w:rsidRPr="0033148D">
              <w:rPr>
                <w:rFonts w:ascii="Calibri" w:eastAsia="Times New Roman" w:hAnsi="Calibri" w:cs="Times New Roman"/>
                <w:b/>
                <w:bCs/>
                <w:color w:val="000000"/>
                <w:lang w:eastAsia="hr-HR"/>
              </w:rPr>
              <w:t xml:space="preserve"> </w:t>
            </w:r>
            <w:r w:rsidR="00EB1790" w:rsidRPr="0033148D">
              <w:rPr>
                <w:rFonts w:ascii="Calibri" w:eastAsia="Times New Roman" w:hAnsi="Calibri" w:cs="Times New Roman"/>
                <w:b/>
                <w:bCs/>
                <w:color w:val="000000"/>
                <w:lang w:eastAsia="hr-HR"/>
              </w:rPr>
              <w:t>unaprjeđenom tražilicom za pronalaženje i preuzimanje službene dokumentacije)</w:t>
            </w:r>
          </w:p>
        </w:tc>
      </w:tr>
      <w:tr w:rsidR="00EB1790" w:rsidRPr="0033148D" w14:paraId="71165689" w14:textId="77777777" w:rsidTr="005103F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01A60F7" w14:textId="4B3F88D4" w:rsidR="00EB1790"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F06C090"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1FDFFCD6" w14:textId="77777777" w:rsidTr="005103F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C0C2B4F" w14:textId="022CF817" w:rsidR="00EB1790"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9E63730"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Akademska zajednica (Sveučilište u Zagrebu - Fakultet elektrotehnike i računarstva, Laboratorij za analizu teksta i inženjerstvo znanja)</w:t>
            </w:r>
          </w:p>
        </w:tc>
      </w:tr>
      <w:tr w:rsidR="00EB1790" w:rsidRPr="0033148D" w14:paraId="19F8DF0B" w14:textId="77777777" w:rsidTr="005103FC">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EF373C2"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0CACC766"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B6A5983" w14:textId="3846F67F"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1196C776" w14:textId="77777777" w:rsidTr="005103FC">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7B916469"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3C611EC"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0AA554A" w14:textId="5F508A13"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0A63B42F"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06D211C" w14:textId="5D2FFF4F"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59BF06F"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w:t>
            </w:r>
          </w:p>
        </w:tc>
      </w:tr>
      <w:tr w:rsidR="00EB1790" w:rsidRPr="0033148D" w14:paraId="1F5E06C0" w14:textId="77777777" w:rsidTr="005103F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0F5FE26" w14:textId="0304DCF1"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823EE1E" w14:textId="1CA7AA0E" w:rsidR="00EB1790" w:rsidRPr="0033148D" w:rsidRDefault="00F00049"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w:t>
            </w:r>
            <w:r w:rsidR="00EB1790" w:rsidRPr="0033148D">
              <w:rPr>
                <w:rFonts w:ascii="Calibri" w:eastAsia="Times New Roman" w:hAnsi="Calibri" w:cs="Times New Roman"/>
                <w:color w:val="000000"/>
                <w:lang w:eastAsia="hr-HR"/>
              </w:rPr>
              <w:t xml:space="preserve">rpanj 2023. </w:t>
            </w:r>
          </w:p>
          <w:p w14:paraId="0572C78C"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Aktivnosti su se odvijale u sklopu EU projekta čije je trajanje produženo do srpnja 2023.</w:t>
            </w:r>
          </w:p>
        </w:tc>
      </w:tr>
      <w:tr w:rsidR="00EB1790" w:rsidRPr="0033148D" w14:paraId="37C69D4B" w14:textId="77777777" w:rsidTr="005103FC">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60C5E93" w14:textId="67339664"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3950EF6" w14:textId="7AE7B189" w:rsidR="00F00049" w:rsidRPr="0033148D" w:rsidRDefault="00F00049" w:rsidP="0033148D">
            <w:pPr>
              <w:pStyle w:val="ListParagraph"/>
              <w:numPr>
                <w:ilvl w:val="0"/>
                <w:numId w:val="33"/>
              </w:num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Razvijeni i integrirani moduli za optimizaciju poslovnih procesa Središnjeg kataloga kroz razvoj programskog sustava upravljanja službenim dokumentima i informacijama</w:t>
            </w:r>
          </w:p>
          <w:p w14:paraId="586BB9E0" w14:textId="77777777" w:rsidR="00F00049" w:rsidRPr="0033148D" w:rsidRDefault="00F00049" w:rsidP="0033148D">
            <w:pPr>
              <w:pStyle w:val="ListParagraph"/>
              <w:numPr>
                <w:ilvl w:val="0"/>
                <w:numId w:val="24"/>
              </w:numPr>
              <w:spacing w:line="240" w:lineRule="auto"/>
              <w:rPr>
                <w:rFonts w:eastAsia="Times New Roman" w:cstheme="minorHAnsi"/>
                <w:color w:val="000000"/>
              </w:rPr>
            </w:pPr>
            <w:r w:rsidRPr="0033148D">
              <w:rPr>
                <w:rFonts w:ascii="Calibri" w:eastAsia="Times New Roman" w:hAnsi="Calibri" w:cs="Times New Roman"/>
                <w:color w:val="000000"/>
                <w:lang w:eastAsia="hr-HR"/>
              </w:rPr>
              <w:t>Unaprjeđena semantička tražilica Središnjeg kataloga i automatska semantička analiza dokumenta</w:t>
            </w:r>
          </w:p>
        </w:tc>
      </w:tr>
      <w:tr w:rsidR="00EB1790" w:rsidRPr="0033148D" w14:paraId="33C8F2EB" w14:textId="77777777" w:rsidTr="005103FC">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45FD153" w14:textId="52E194AB"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EE1CC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5BD26D35"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32B47A93"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0CF1798"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472742DE" w14:textId="77777777" w:rsidTr="007D0017">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3F1BECE6"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2D5C10FE"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4004A728"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0D8D7CEE"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07FE704F"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6D0FDDFF" w14:textId="77777777" w:rsidTr="00D82D88">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83D1304" w14:textId="1D91AD3E" w:rsidR="00EB1790" w:rsidRPr="0033148D" w:rsidRDefault="00EB1790"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6A0F6E85" w14:textId="3182A04D" w:rsidR="00EB1790"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EB1790" w:rsidRPr="0033148D" w14:paraId="00D5C37B" w14:textId="77777777" w:rsidTr="005103FC">
        <w:trPr>
          <w:trHeight w:val="237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4C47F3E" w14:textId="0F3C3121" w:rsidR="00EB1790" w:rsidRPr="0033148D" w:rsidRDefault="00EB1790" w:rsidP="00D82D88">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lastRenderedPageBreak/>
              <w:t xml:space="preserve">Opis rezultata s pokazateljima provedbe: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1522DE3" w14:textId="77777777" w:rsidR="00156A18" w:rsidRPr="0033148D" w:rsidRDefault="00156A18" w:rsidP="0033148D">
            <w:pPr>
              <w:spacing w:line="240" w:lineRule="auto"/>
              <w:rPr>
                <w:rFonts w:eastAsia="Times New Roman" w:cstheme="minorHAnsi"/>
                <w:color w:val="000000"/>
              </w:rPr>
            </w:pPr>
            <w:r w:rsidRPr="0033148D">
              <w:rPr>
                <w:rFonts w:eastAsia="Times New Roman" w:cstheme="minorHAnsi"/>
                <w:color w:val="000000"/>
              </w:rPr>
              <w:t xml:space="preserve">Razvijeni su i integrirani moduli za optimizaciju poslovnih procesa Središnjeg kataloga kroz razvoj programskog sustava upravljanja službenim dokumentima i informacijama i unaprjeđena je semantička tražilica Središnjeg kataloga. </w:t>
            </w:r>
          </w:p>
          <w:p w14:paraId="58B7386D" w14:textId="4E856199"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 xml:space="preserve">Novi integrirani sustav za upravljanje službenim dokumentima RH osigurava automatizaciju radnih procesa potrebnih za održavanje i ažuriranje Središnjeg kataloga službenih dokumenata i informacija RH a službenici Ureda koriste ga za svakodnevni rad od rujna 2023. Njegovim razvojem osigurana je tehnologija koja će ubrzati prihvat (korisnički sandučići za dostavu obveznog primjerka dokumenta integrirani s NIAS </w:t>
            </w:r>
            <w:proofErr w:type="spellStart"/>
            <w:r w:rsidRPr="0033148D">
              <w:rPr>
                <w:rFonts w:eastAsia="Times New Roman" w:cstheme="minorHAnsi"/>
                <w:color w:val="000000"/>
              </w:rPr>
              <w:t>autentifikacijskim</w:t>
            </w:r>
            <w:proofErr w:type="spellEnd"/>
            <w:r w:rsidRPr="0033148D">
              <w:rPr>
                <w:rFonts w:eastAsia="Times New Roman" w:cstheme="minorHAnsi"/>
                <w:color w:val="000000"/>
              </w:rPr>
              <w:t xml:space="preserve"> sustavom za registraciju korisnika) te olakšati obradu, nadzor, objavu i trajnu pohranu zapisa i dokumenata. Uspostavljen je i novi komunikacijski kanal za razmjenu informacija i preuzimanje sadržaja Središnjeg kataloga. Svi radni procesi vrše se kroz integralni sustav bez potrebe za dodatnim aplikacijama. Budući je integralni sustav modularan, sva ažuriranja i nadogradnje sustava u skladu s rastućim potrebama Središnjeg kataloga ili njegovih korisnika (državni službenici, javnost) bit će moguće izvršiti u relativno kratkom roku i s manjim troškom.</w:t>
            </w:r>
          </w:p>
          <w:p w14:paraId="07FC9B12" w14:textId="77777777"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Semantička tražilica razvijena je i integrirana sa sustavom te omogućuje ujednačenu pretragu svih zbirki Središnjeg kataloga, između ostaloga i po punom tekstu.</w:t>
            </w:r>
          </w:p>
        </w:tc>
      </w:tr>
      <w:tr w:rsidR="00EB1790" w:rsidRPr="0033148D" w14:paraId="552C68DE"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E996751" w14:textId="41306C02" w:rsidR="00EB1790" w:rsidRPr="0033148D" w:rsidRDefault="00EB1790" w:rsidP="00D82D88">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r w:rsidR="00D82D88">
              <w:rPr>
                <w:rFonts w:ascii="Calibri" w:eastAsia="Times New Roman" w:hAnsi="Calibri" w:cs="Times New Roman"/>
                <w:b/>
                <w:bCs/>
                <w:color w:val="000000"/>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E1D4D54"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2E0E8E02"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3BFEA9C" w14:textId="26119E5F" w:rsidR="00EB1790" w:rsidRPr="0033148D" w:rsidRDefault="00EB1790" w:rsidP="00D82D88">
            <w:pPr>
              <w:spacing w:line="240" w:lineRule="auto"/>
              <w:rPr>
                <w:rFonts w:ascii="Calibri" w:eastAsia="Times New Roman" w:hAnsi="Calibri" w:cs="Times New Roman"/>
                <w:color w:val="000000"/>
                <w:lang w:eastAsia="hr-HR"/>
              </w:rPr>
            </w:pPr>
            <w:r w:rsidRPr="0033148D">
              <w:rPr>
                <w:b/>
                <w:bCs/>
                <w:lang w:eastAsia="hr-HR"/>
              </w:rPr>
              <w:t>Sljedeći koraci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9833F9"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7F6A9F31" w14:textId="77777777" w:rsidR="005103FC" w:rsidRPr="0033148D" w:rsidRDefault="005103FC" w:rsidP="0033148D">
      <w:pPr>
        <w:spacing w:line="240" w:lineRule="auto"/>
      </w:pPr>
    </w:p>
    <w:tbl>
      <w:tblPr>
        <w:tblW w:w="14596" w:type="dxa"/>
        <w:jc w:val="center"/>
        <w:tblLook w:val="04A0" w:firstRow="1" w:lastRow="0" w:firstColumn="1" w:lastColumn="0" w:noHBand="0" w:noVBand="1"/>
      </w:tblPr>
      <w:tblGrid>
        <w:gridCol w:w="1980"/>
        <w:gridCol w:w="2126"/>
        <w:gridCol w:w="2693"/>
        <w:gridCol w:w="2410"/>
        <w:gridCol w:w="2552"/>
        <w:gridCol w:w="2835"/>
      </w:tblGrid>
      <w:tr w:rsidR="00EB1790" w:rsidRPr="0033148D" w14:paraId="4139A336" w14:textId="77777777" w:rsidTr="00D82D88">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14222B0" w14:textId="5B5BE21D"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9.2. Provoditi edukacije o korištenju unaprijeđenog Središnjeg kataloga (dostava i pretraživanje)</w:t>
            </w:r>
          </w:p>
        </w:tc>
      </w:tr>
      <w:tr w:rsidR="00EB1790" w:rsidRPr="0033148D" w14:paraId="42C17EB4"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02E2041" w14:textId="23730AD8" w:rsidR="00EB1790"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985353"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4529EC08" w14:textId="77777777" w:rsidTr="00D82D88">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92235AB" w14:textId="6F56DB2A" w:rsidR="00EB1790" w:rsidRPr="0033148D" w:rsidRDefault="00EB1790"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071B498" w14:textId="3A7C8148"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6B355B91" w14:textId="77777777" w:rsidTr="005103FC">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450CD50"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AE1712B"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5BF693F" w14:textId="6A88075E"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626F570D" w14:textId="77777777" w:rsidTr="005103FC">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7906C707"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40E5367"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4A253A3" w14:textId="5A5635D8"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87283D8" w14:textId="77777777" w:rsidTr="00D82D88">
        <w:trPr>
          <w:trHeight w:val="42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7934F70" w14:textId="1E2E62F0" w:rsidR="00EB1790" w:rsidRPr="0033148D" w:rsidRDefault="00EB1790"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95B23A0"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siječanj 2022.</w:t>
            </w:r>
          </w:p>
        </w:tc>
      </w:tr>
      <w:tr w:rsidR="00EB1790" w:rsidRPr="0033148D" w14:paraId="06B7A131" w14:textId="77777777" w:rsidTr="00D82D88">
        <w:trPr>
          <w:trHeight w:val="42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D83B846" w14:textId="6EEAFB52" w:rsidR="00EB1790" w:rsidRPr="0033148D" w:rsidRDefault="00EB1790" w:rsidP="00D82D88">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1410709" w14:textId="77777777" w:rsidR="00EB1790" w:rsidRPr="0033148D" w:rsidRDefault="006771C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w:t>
            </w:r>
            <w:r w:rsidR="00EB1790" w:rsidRPr="0033148D">
              <w:rPr>
                <w:rFonts w:ascii="Calibri" w:eastAsia="Times New Roman" w:hAnsi="Calibri" w:cs="Times New Roman"/>
                <w:color w:val="000000"/>
                <w:lang w:eastAsia="hr-HR"/>
              </w:rPr>
              <w:t xml:space="preserve">rpanj 2023. </w:t>
            </w:r>
            <w:r w:rsidR="006F118D" w:rsidRPr="0033148D">
              <w:rPr>
                <w:rFonts w:ascii="Calibri" w:eastAsia="Times New Roman" w:hAnsi="Calibri" w:cs="Times New Roman"/>
                <w:color w:val="000000"/>
                <w:lang w:eastAsia="hr-HR"/>
              </w:rPr>
              <w:t>(a</w:t>
            </w:r>
            <w:r w:rsidR="00EB1790" w:rsidRPr="0033148D">
              <w:rPr>
                <w:rFonts w:ascii="Calibri" w:eastAsia="Times New Roman" w:hAnsi="Calibri" w:cs="Times New Roman"/>
                <w:color w:val="000000"/>
                <w:lang w:eastAsia="hr-HR"/>
              </w:rPr>
              <w:t>ktivnosti su se odvijale u sklopu EU projekta čije je trajanje produženo do srpnja 2023.</w:t>
            </w:r>
            <w:r w:rsidR="006F118D" w:rsidRPr="0033148D">
              <w:rPr>
                <w:rFonts w:ascii="Calibri" w:eastAsia="Times New Roman" w:hAnsi="Calibri" w:cs="Times New Roman"/>
                <w:color w:val="000000"/>
                <w:lang w:eastAsia="hr-HR"/>
              </w:rPr>
              <w:t>)</w:t>
            </w:r>
          </w:p>
        </w:tc>
      </w:tr>
      <w:tr w:rsidR="00EB1790" w:rsidRPr="0033148D" w14:paraId="7CCF0B1F" w14:textId="77777777" w:rsidTr="00D82D88">
        <w:trPr>
          <w:trHeight w:val="42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2BD310" w14:textId="12E6A4EA" w:rsidR="00EB1790"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C4CE3E2" w14:textId="37BF5913" w:rsidR="00EB1790" w:rsidRPr="0033148D" w:rsidRDefault="002C13F7" w:rsidP="0033148D">
            <w:pPr>
              <w:spacing w:line="240" w:lineRule="auto"/>
              <w:rPr>
                <w:rFonts w:eastAsia="Times New Roman" w:cstheme="minorHAnsi"/>
                <w:color w:val="000000"/>
              </w:rPr>
            </w:pPr>
            <w:r w:rsidRPr="0033148D">
              <w:rPr>
                <w:rFonts w:eastAsia="Times New Roman" w:cstheme="minorHAnsi"/>
                <w:color w:val="000000"/>
              </w:rPr>
              <w:t>Provedeno 26 radionica za službenike za informiranje o korištenju unaprijeđenog Središnjeg kataloga</w:t>
            </w:r>
          </w:p>
        </w:tc>
      </w:tr>
      <w:tr w:rsidR="00EB1790" w:rsidRPr="0033148D" w14:paraId="5EEFCEC4" w14:textId="77777777" w:rsidTr="005103FC">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D7D9D5D" w14:textId="1AAC342C"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70AAD62"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6FAA7612"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798078E9"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0AB83E5"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28D5F528" w14:textId="77777777" w:rsidTr="007D0017">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30DC2898"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90E1E92"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7DB78839"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04F1F3F6"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5128E494"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5F5372C5" w14:textId="77777777" w:rsidTr="004D6805">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332ACEE2" w14:textId="15A8755A"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0C4F754B" w14:textId="13A7FAF4" w:rsidR="00EB1790"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EB1790" w:rsidRPr="0033148D" w14:paraId="794E5F0D" w14:textId="77777777" w:rsidTr="004D6805">
        <w:trPr>
          <w:trHeight w:val="873"/>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F66D612" w14:textId="500E8513" w:rsidR="00EB1790" w:rsidRPr="0033148D" w:rsidRDefault="00EB1790"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2F3699" w14:textId="77777777"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Ostvareni su pokazatelji mjere - edukacije o korištenju unaprijeđenog Središnjeg kataloga. Zbog reorganizacije organizacija radionica, umjesto 26 planiranih radionica uživo, održano je 12 online radionica na kojima je mogao sudjelovati veći broj sudionika. Na radionicama je educirano ukupno 883 polaznika.</w:t>
            </w:r>
          </w:p>
        </w:tc>
      </w:tr>
      <w:tr w:rsidR="00EB1790" w:rsidRPr="0033148D" w14:paraId="03A1D559"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EA15CE6" w14:textId="119BCCF1"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75C20B"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20BBBA2F"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2827765" w14:textId="7E51FC64" w:rsidR="00EB1790" w:rsidRPr="0033148D" w:rsidRDefault="00EB1790" w:rsidP="004D6805">
            <w:pPr>
              <w:spacing w:line="240" w:lineRule="auto"/>
              <w:rPr>
                <w:rFonts w:ascii="Calibri" w:eastAsia="Times New Roman" w:hAnsi="Calibri" w:cs="Times New Roman"/>
                <w:color w:val="000000"/>
                <w:lang w:eastAsia="hr-HR"/>
              </w:rPr>
            </w:pPr>
            <w:r w:rsidRPr="0033148D">
              <w:rPr>
                <w:b/>
                <w:bCs/>
                <w:lang w:eastAsia="hr-HR"/>
              </w:rPr>
              <w:t>Sljedeći koraci</w:t>
            </w:r>
            <w:r w:rsidR="00D82D88">
              <w:rPr>
                <w:i/>
                <w:i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2B4326"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5CE26B73" w14:textId="77777777" w:rsidR="005103FC" w:rsidRPr="0033148D" w:rsidRDefault="005103FC" w:rsidP="0033148D">
      <w:pPr>
        <w:spacing w:line="240" w:lineRule="auto"/>
      </w:pPr>
    </w:p>
    <w:tbl>
      <w:tblPr>
        <w:tblW w:w="14709" w:type="dxa"/>
        <w:jc w:val="center"/>
        <w:tblLook w:val="04A0" w:firstRow="1" w:lastRow="0" w:firstColumn="1" w:lastColumn="0" w:noHBand="0" w:noVBand="1"/>
      </w:tblPr>
      <w:tblGrid>
        <w:gridCol w:w="2093"/>
        <w:gridCol w:w="2126"/>
        <w:gridCol w:w="2693"/>
        <w:gridCol w:w="2410"/>
        <w:gridCol w:w="2552"/>
        <w:gridCol w:w="2835"/>
      </w:tblGrid>
      <w:tr w:rsidR="00EB1790" w:rsidRPr="0033148D" w14:paraId="5F2ED247" w14:textId="77777777" w:rsidTr="007B60AF">
        <w:trPr>
          <w:trHeight w:val="70"/>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5C26F26" w14:textId="5609F25C"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9.3. Omogućiti kontinuirano usavršavanje službenika o primjeni Zakona o pravu na pristup informacijama u smislu Središnjeg kataloga, obvezama i načinima njegova izvršavanja kroz sustav e-učenja</w:t>
            </w:r>
          </w:p>
        </w:tc>
      </w:tr>
      <w:tr w:rsidR="00EB1790" w:rsidRPr="0033148D" w14:paraId="76810023"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DD7CB5D" w14:textId="467C3CE6" w:rsidR="00EB1790"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AA1A699"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0F2C40B6"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ECFCCDE" w14:textId="4C4B4901" w:rsidR="00EB1790"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4F32701" w14:textId="60CCE44A"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1796F30E" w14:textId="77777777" w:rsidTr="00FD1185">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FBB3672"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3C249353"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2349DCF" w14:textId="2E1B6F0D"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5E7F701A" w14:textId="77777777" w:rsidTr="00FD1185">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14F7264C"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6884ECA7"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E77A19A" w14:textId="09D7FE5C"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68D16FE"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83427ED" w14:textId="4C3F28E0"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3EC97ED"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veljača 2022.</w:t>
            </w:r>
          </w:p>
        </w:tc>
      </w:tr>
      <w:tr w:rsidR="00EB1790" w:rsidRPr="0033148D" w14:paraId="0531AA60"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63610EB" w14:textId="34FDD623"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333CC4E" w14:textId="77777777" w:rsidR="00EB1790" w:rsidRPr="0033148D" w:rsidRDefault="006771C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w:t>
            </w:r>
            <w:r w:rsidR="00EB1790" w:rsidRPr="0033148D">
              <w:rPr>
                <w:rFonts w:ascii="Calibri" w:eastAsia="Times New Roman" w:hAnsi="Calibri" w:cs="Times New Roman"/>
                <w:color w:val="000000"/>
                <w:lang w:eastAsia="hr-HR"/>
              </w:rPr>
              <w:t>rpanj 2023.</w:t>
            </w:r>
            <w:r w:rsidR="006F118D" w:rsidRPr="0033148D">
              <w:rPr>
                <w:rFonts w:ascii="Calibri" w:eastAsia="Times New Roman" w:hAnsi="Calibri" w:cs="Times New Roman"/>
                <w:color w:val="000000"/>
                <w:lang w:eastAsia="hr-HR"/>
              </w:rPr>
              <w:t xml:space="preserve"> (a</w:t>
            </w:r>
            <w:r w:rsidR="00EB1790" w:rsidRPr="0033148D">
              <w:rPr>
                <w:rFonts w:ascii="Calibri" w:eastAsia="Times New Roman" w:hAnsi="Calibri" w:cs="Times New Roman"/>
                <w:color w:val="000000"/>
                <w:lang w:eastAsia="hr-HR"/>
              </w:rPr>
              <w:t>ktivnosti su se odvijale u sklopu EU projekta čije je trajanje produženo do srpnja 2023.</w:t>
            </w:r>
            <w:r w:rsidR="006F118D" w:rsidRPr="0033148D">
              <w:rPr>
                <w:rFonts w:ascii="Calibri" w:eastAsia="Times New Roman" w:hAnsi="Calibri" w:cs="Times New Roman"/>
                <w:color w:val="000000"/>
                <w:lang w:eastAsia="hr-HR"/>
              </w:rPr>
              <w:t>)</w:t>
            </w:r>
          </w:p>
        </w:tc>
      </w:tr>
      <w:tr w:rsidR="00EB1790" w:rsidRPr="0033148D" w14:paraId="58507B6D"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5C12DD6" w14:textId="21FA9622" w:rsidR="00EB1790"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F083119" w14:textId="4FB251EC" w:rsidR="00EB1790" w:rsidRPr="0033148D" w:rsidRDefault="00E82532" w:rsidP="0033148D">
            <w:pPr>
              <w:spacing w:line="240" w:lineRule="auto"/>
              <w:rPr>
                <w:rFonts w:eastAsia="Times New Roman" w:cstheme="minorHAnsi"/>
                <w:color w:val="000000"/>
              </w:rPr>
            </w:pPr>
            <w:r w:rsidRPr="0033148D">
              <w:rPr>
                <w:rFonts w:eastAsia="Times New Roman" w:cstheme="minorHAnsi"/>
                <w:color w:val="000000"/>
              </w:rPr>
              <w:t>Izrađen jedan promotivni video materijal o Središnjem katalogu</w:t>
            </w:r>
          </w:p>
        </w:tc>
      </w:tr>
      <w:tr w:rsidR="00EB1790" w:rsidRPr="0033148D" w14:paraId="508F3AB2" w14:textId="77777777" w:rsidTr="007F378A">
        <w:trPr>
          <w:trHeight w:val="718"/>
          <w:jc w:val="center"/>
        </w:trPr>
        <w:tc>
          <w:tcPr>
            <w:tcW w:w="421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03885CA" w14:textId="4A06347C"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3718368"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54CAEB45"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7B0A2A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1E5C28A0"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27E16ECA" w14:textId="77777777" w:rsidTr="007F378A">
        <w:trPr>
          <w:trHeight w:val="642"/>
          <w:jc w:val="center"/>
        </w:trPr>
        <w:tc>
          <w:tcPr>
            <w:tcW w:w="4219" w:type="dxa"/>
            <w:gridSpan w:val="2"/>
            <w:vMerge/>
            <w:tcBorders>
              <w:top w:val="single" w:sz="4" w:space="0" w:color="auto"/>
              <w:left w:val="single" w:sz="4" w:space="0" w:color="auto"/>
              <w:bottom w:val="single" w:sz="4" w:space="0" w:color="auto"/>
              <w:right w:val="single" w:sz="4" w:space="0" w:color="auto"/>
            </w:tcBorders>
            <w:vAlign w:val="center"/>
            <w:hideMark/>
          </w:tcPr>
          <w:p w14:paraId="21CB9DD3"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755B"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CE566"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93C84"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835"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14:paraId="61237236"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5D5F4133" w14:textId="77777777" w:rsidTr="004D6805">
        <w:trPr>
          <w:trHeight w:val="431"/>
          <w:jc w:val="center"/>
        </w:trPr>
        <w:tc>
          <w:tcPr>
            <w:tcW w:w="4219" w:type="dxa"/>
            <w:gridSpan w:val="2"/>
            <w:tcBorders>
              <w:top w:val="single" w:sz="4" w:space="0" w:color="auto"/>
              <w:left w:val="single" w:sz="4" w:space="0" w:color="auto"/>
              <w:bottom w:val="single" w:sz="4" w:space="0" w:color="000000"/>
              <w:right w:val="single" w:sz="4" w:space="0" w:color="000000"/>
            </w:tcBorders>
            <w:shd w:val="clear" w:color="auto" w:fill="F2F2F2" w:themeFill="background1" w:themeFillShade="F2"/>
            <w:vAlign w:val="center"/>
          </w:tcPr>
          <w:p w14:paraId="0E6407D0" w14:textId="44DC045D"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single" w:sz="4" w:space="0" w:color="auto"/>
              <w:left w:val="nil"/>
              <w:bottom w:val="single" w:sz="4" w:space="0" w:color="auto"/>
              <w:right w:val="single" w:sz="4" w:space="0" w:color="auto"/>
            </w:tcBorders>
            <w:shd w:val="clear" w:color="auto" w:fill="auto"/>
            <w:noWrap/>
            <w:vAlign w:val="center"/>
          </w:tcPr>
          <w:p w14:paraId="2E8C7488" w14:textId="24F9680E" w:rsidR="00EB1790"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EB1790" w:rsidRPr="0033148D" w14:paraId="75D6AE85" w14:textId="77777777" w:rsidTr="004D6805">
        <w:trPr>
          <w:trHeight w:val="848"/>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A55196B" w14:textId="6A042DD0" w:rsidR="00EB1790" w:rsidRPr="0033148D" w:rsidRDefault="00EB1790"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lastRenderedPageBreak/>
              <w:t xml:space="preserve">Opis rezultata s pokazateljima provedbe: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BCFA2F" w14:textId="77777777"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Objavljena su 4 video materijala o Središnj</w:t>
            </w:r>
            <w:r w:rsidR="006F118D" w:rsidRPr="0033148D">
              <w:rPr>
                <w:rFonts w:eastAsia="Times New Roman" w:cstheme="minorHAnsi"/>
                <w:color w:val="000000"/>
              </w:rPr>
              <w:t>em katalogu na novom Portalu – „</w:t>
            </w:r>
            <w:r w:rsidRPr="0033148D">
              <w:rPr>
                <w:rFonts w:eastAsia="Times New Roman" w:cstheme="minorHAnsi"/>
                <w:color w:val="000000"/>
              </w:rPr>
              <w:t>Dostava službenog dokumenta u Središnji katalog</w:t>
            </w:r>
            <w:r w:rsidR="006F118D" w:rsidRPr="0033148D">
              <w:rPr>
                <w:rFonts w:eastAsia="Times New Roman" w:cstheme="minorHAnsi"/>
                <w:color w:val="000000"/>
              </w:rPr>
              <w:t>“</w:t>
            </w:r>
            <w:r w:rsidRPr="0033148D">
              <w:rPr>
                <w:rFonts w:eastAsia="Times New Roman" w:cstheme="minorHAnsi"/>
                <w:color w:val="000000"/>
              </w:rPr>
              <w:t xml:space="preserve">, </w:t>
            </w:r>
            <w:r w:rsidR="006F118D" w:rsidRPr="0033148D">
              <w:rPr>
                <w:rFonts w:eastAsia="Times New Roman" w:cstheme="minorHAnsi"/>
                <w:color w:val="000000"/>
              </w:rPr>
              <w:t>„</w:t>
            </w:r>
            <w:r w:rsidRPr="0033148D">
              <w:rPr>
                <w:rFonts w:eastAsia="Times New Roman" w:cstheme="minorHAnsi"/>
                <w:color w:val="000000"/>
              </w:rPr>
              <w:t>O Središnjem katalogu službenih dokumenata RH</w:t>
            </w:r>
            <w:r w:rsidR="006F118D" w:rsidRPr="0033148D">
              <w:rPr>
                <w:rFonts w:eastAsia="Times New Roman" w:cstheme="minorHAnsi"/>
                <w:color w:val="000000"/>
              </w:rPr>
              <w:t>“</w:t>
            </w:r>
            <w:r w:rsidRPr="0033148D">
              <w:rPr>
                <w:rFonts w:eastAsia="Times New Roman" w:cstheme="minorHAnsi"/>
                <w:color w:val="000000"/>
              </w:rPr>
              <w:t xml:space="preserve">, </w:t>
            </w:r>
            <w:r w:rsidR="006F118D" w:rsidRPr="0033148D">
              <w:rPr>
                <w:rFonts w:eastAsia="Times New Roman" w:cstheme="minorHAnsi"/>
                <w:color w:val="000000"/>
              </w:rPr>
              <w:t>„</w:t>
            </w:r>
            <w:r w:rsidRPr="0033148D">
              <w:rPr>
                <w:rFonts w:eastAsia="Times New Roman" w:cstheme="minorHAnsi"/>
                <w:color w:val="000000"/>
              </w:rPr>
              <w:t>Pretraživanje i pregled zb</w:t>
            </w:r>
            <w:r w:rsidR="006F118D" w:rsidRPr="0033148D">
              <w:rPr>
                <w:rFonts w:eastAsia="Times New Roman" w:cstheme="minorHAnsi"/>
                <w:color w:val="000000"/>
              </w:rPr>
              <w:t>irki Središnjeg kataloga I. dio“</w:t>
            </w:r>
            <w:r w:rsidRPr="0033148D">
              <w:rPr>
                <w:rFonts w:eastAsia="Times New Roman" w:cstheme="minorHAnsi"/>
                <w:color w:val="000000"/>
              </w:rPr>
              <w:t xml:space="preserve"> i</w:t>
            </w:r>
            <w:r w:rsidR="006F118D" w:rsidRPr="0033148D">
              <w:rPr>
                <w:rFonts w:eastAsia="Times New Roman" w:cstheme="minorHAnsi"/>
                <w:color w:val="000000"/>
              </w:rPr>
              <w:t xml:space="preserve"> „</w:t>
            </w:r>
            <w:r w:rsidRPr="0033148D">
              <w:rPr>
                <w:rFonts w:eastAsia="Times New Roman" w:cstheme="minorHAnsi"/>
                <w:color w:val="000000"/>
              </w:rPr>
              <w:t xml:space="preserve">Pretraživanje i pregled zbirki Središnjeg kataloga II. </w:t>
            </w:r>
            <w:r w:rsidR="006F118D" w:rsidRPr="0033148D">
              <w:rPr>
                <w:rFonts w:eastAsia="Times New Roman" w:cstheme="minorHAnsi"/>
                <w:color w:val="000000"/>
              </w:rPr>
              <w:t>Dio“</w:t>
            </w:r>
            <w:r w:rsidRPr="0033148D">
              <w:rPr>
                <w:rFonts w:eastAsia="Times New Roman" w:cstheme="minorHAnsi"/>
                <w:color w:val="000000"/>
              </w:rPr>
              <w:t>.</w:t>
            </w:r>
          </w:p>
        </w:tc>
      </w:tr>
      <w:tr w:rsidR="00EB1790" w:rsidRPr="0033148D" w14:paraId="2BC64734"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7F20F2A" w14:textId="696C5AAC"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3C98FF"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5628A289"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0A66430" w14:textId="570B9536" w:rsidR="00EB1790" w:rsidRPr="0033148D" w:rsidRDefault="00EB1790" w:rsidP="004D6805">
            <w:pPr>
              <w:spacing w:line="240" w:lineRule="auto"/>
              <w:rPr>
                <w:rFonts w:ascii="Calibri" w:eastAsia="Times New Roman" w:hAnsi="Calibri" w:cs="Times New Roman"/>
                <w:color w:val="000000"/>
                <w:lang w:eastAsia="hr-HR"/>
              </w:rPr>
            </w:pPr>
            <w:r w:rsidRPr="0033148D">
              <w:rPr>
                <w:b/>
                <w:bCs/>
                <w:lang w:eastAsia="hr-HR"/>
              </w:rPr>
              <w:t xml:space="preserve">Sljedeći koraci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A5E7E86" w14:textId="77777777" w:rsidR="00EB1790"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6FF04306" w14:textId="77777777" w:rsidR="005103FC" w:rsidRPr="0033148D" w:rsidRDefault="005103FC" w:rsidP="0033148D">
      <w:pPr>
        <w:spacing w:line="240" w:lineRule="auto"/>
      </w:pPr>
    </w:p>
    <w:p w14:paraId="6F48348A" w14:textId="77777777" w:rsidR="002E597E" w:rsidRPr="007F378A" w:rsidRDefault="002E597E" w:rsidP="00267611">
      <w:pPr>
        <w:pStyle w:val="Heading3"/>
        <w:rPr>
          <w:lang w:eastAsia="hr-HR"/>
        </w:rPr>
      </w:pPr>
      <w:bookmarkStart w:id="26" w:name="_Toc183591326"/>
      <w:r w:rsidRPr="007F378A">
        <w:t xml:space="preserve">MJERA 10 - </w:t>
      </w:r>
      <w:r w:rsidRPr="007F378A">
        <w:rPr>
          <w:lang w:eastAsia="hr-HR"/>
        </w:rPr>
        <w:t>UNAPRJEĐENJE SREDIŠNJEG REGISTRA DRŽAVNE IMOVINE</w:t>
      </w:r>
      <w:bookmarkEnd w:id="26"/>
    </w:p>
    <w:tbl>
      <w:tblPr>
        <w:tblW w:w="14709" w:type="dxa"/>
        <w:jc w:val="center"/>
        <w:tblLook w:val="04A0" w:firstRow="1" w:lastRow="0" w:firstColumn="1" w:lastColumn="0" w:noHBand="0" w:noVBand="1"/>
      </w:tblPr>
      <w:tblGrid>
        <w:gridCol w:w="2093"/>
        <w:gridCol w:w="2126"/>
        <w:gridCol w:w="2693"/>
        <w:gridCol w:w="2410"/>
        <w:gridCol w:w="2552"/>
        <w:gridCol w:w="2835"/>
      </w:tblGrid>
      <w:tr w:rsidR="00EB1790" w:rsidRPr="0033148D" w14:paraId="35B71158" w14:textId="77777777" w:rsidTr="004D6805">
        <w:trPr>
          <w:trHeight w:val="431"/>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04E41" w14:textId="2E599975"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10.1. Unaprijediti Središnji registar državne imovine (unapređenje sustava upravljanja javnim portalom za</w:t>
            </w:r>
            <w:r w:rsidRPr="0033148D">
              <w:rPr>
                <w:rFonts w:ascii="Calibri" w:eastAsia="Times New Roman" w:hAnsi="Calibri" w:cs="Times New Roman"/>
                <w:b/>
                <w:bCs/>
                <w:color w:val="000000"/>
                <w:lang w:eastAsia="hr-HR"/>
              </w:rPr>
              <w:t xml:space="preserve"> </w:t>
            </w:r>
            <w:proofErr w:type="spellStart"/>
            <w:r w:rsidR="00EB1790" w:rsidRPr="0033148D">
              <w:rPr>
                <w:rFonts w:ascii="Calibri" w:eastAsia="Times New Roman" w:hAnsi="Calibri" w:cs="Times New Roman"/>
                <w:b/>
                <w:bCs/>
                <w:color w:val="000000"/>
                <w:lang w:eastAsia="hr-HR"/>
              </w:rPr>
              <w:t>transparentniji</w:t>
            </w:r>
            <w:proofErr w:type="spellEnd"/>
            <w:r w:rsidR="00EB1790" w:rsidRPr="0033148D">
              <w:rPr>
                <w:rFonts w:ascii="Calibri" w:eastAsia="Times New Roman" w:hAnsi="Calibri" w:cs="Times New Roman"/>
                <w:b/>
                <w:bCs/>
                <w:color w:val="000000"/>
                <w:lang w:eastAsia="hr-HR"/>
              </w:rPr>
              <w:t xml:space="preserve"> prikaz imovine)</w:t>
            </w:r>
          </w:p>
        </w:tc>
      </w:tr>
      <w:tr w:rsidR="00EB1790" w:rsidRPr="0033148D" w14:paraId="4B87D851"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3563C5" w14:textId="5DFB7D71"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w:t>
            </w:r>
            <w:r w:rsidR="007B60AF" w:rsidRPr="0033148D">
              <w:rPr>
                <w:rFonts w:ascii="Calibri" w:eastAsia="Times New Roman" w:hAnsi="Calibri" w:cs="Times New Roman"/>
                <w:b/>
                <w:bCs/>
                <w:color w:val="000000"/>
                <w:lang w:eastAsia="hr-HR"/>
              </w:rPr>
              <w:t xml:space="preserve">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41708E"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11BAEE4F"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3B54D62" w14:textId="3C5D1E31" w:rsidR="00EB1790" w:rsidRPr="0033148D" w:rsidRDefault="007B60A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D6689A2" w14:textId="41DEC369"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3CD6B0A" w14:textId="77777777" w:rsidTr="00FD1185">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B551A40"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1ADCE30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6FDDB29" w14:textId="212D2229"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060C8F62" w14:textId="77777777" w:rsidTr="00FD1185">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2A9052D9"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7DC71E2D"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ADDB243" w14:textId="239BB646"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34965A28"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960C33E" w14:textId="10A0A947"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02EF5BE"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lipanj 2020.</w:t>
            </w:r>
          </w:p>
        </w:tc>
      </w:tr>
      <w:tr w:rsidR="00EB1790" w:rsidRPr="0033148D" w14:paraId="59B35C1E" w14:textId="77777777" w:rsidTr="004D6805">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DC44D36" w14:textId="2E5972BA"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ED2D7F3" w14:textId="77777777" w:rsidR="00EB1790"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EB1790" w:rsidRPr="0033148D">
              <w:rPr>
                <w:rFonts w:ascii="Calibri" w:eastAsia="Times New Roman" w:hAnsi="Calibri" w:cs="Times New Roman"/>
                <w:color w:val="000000"/>
                <w:lang w:eastAsia="hr-HR"/>
              </w:rPr>
              <w:t>rosinac 2023.</w:t>
            </w:r>
          </w:p>
        </w:tc>
      </w:tr>
      <w:tr w:rsidR="00EB1790" w:rsidRPr="0033148D" w14:paraId="16AEAE86" w14:textId="77777777" w:rsidTr="004D6805">
        <w:trPr>
          <w:trHeight w:val="552"/>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CAFF14" w14:textId="2243C38E" w:rsidR="00EB1790" w:rsidRPr="0033148D" w:rsidRDefault="007B60A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0A8616F" w14:textId="2A9475BB" w:rsidR="00330B70" w:rsidRPr="0033148D" w:rsidRDefault="00330B70" w:rsidP="0033148D">
            <w:p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w:t>
            </w:r>
            <w:r w:rsidR="00EB1790" w:rsidRPr="0033148D">
              <w:rPr>
                <w:rFonts w:ascii="Calibri" w:eastAsia="Times New Roman" w:hAnsi="Calibri" w:cs="Times New Roman"/>
                <w:color w:val="000000"/>
                <w:lang w:eastAsia="hr-HR"/>
              </w:rPr>
              <w:t>adograđen je informacijski sustav upravljanja državnom imovinom RH</w:t>
            </w:r>
            <w:r w:rsidRPr="0033148D">
              <w:rPr>
                <w:rFonts w:ascii="Calibri" w:eastAsia="Times New Roman" w:hAnsi="Calibri" w:cs="Times New Roman"/>
                <w:color w:val="000000"/>
                <w:lang w:eastAsia="hr-HR"/>
              </w:rPr>
              <w:t xml:space="preserve"> kvalitetnijim i preglednijim javnim dijelom preglednika državne imovine</w:t>
            </w:r>
          </w:p>
        </w:tc>
      </w:tr>
      <w:tr w:rsidR="00EB1790" w:rsidRPr="0033148D" w14:paraId="19F289F0" w14:textId="77777777" w:rsidTr="00FD1185">
        <w:trPr>
          <w:trHeight w:val="718"/>
          <w:jc w:val="center"/>
        </w:trPr>
        <w:tc>
          <w:tcPr>
            <w:tcW w:w="421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A1A43C8" w14:textId="65A87281"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CA733C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05798D18"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23268F9D"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19602EDD"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20797EC5" w14:textId="77777777" w:rsidTr="001340F3">
        <w:trPr>
          <w:trHeight w:val="642"/>
          <w:jc w:val="center"/>
        </w:trPr>
        <w:tc>
          <w:tcPr>
            <w:tcW w:w="4219" w:type="dxa"/>
            <w:gridSpan w:val="2"/>
            <w:vMerge/>
            <w:tcBorders>
              <w:top w:val="single" w:sz="4" w:space="0" w:color="auto"/>
              <w:left w:val="single" w:sz="4" w:space="0" w:color="auto"/>
              <w:bottom w:val="single" w:sz="4" w:space="0" w:color="000000"/>
              <w:right w:val="single" w:sz="4" w:space="0" w:color="000000"/>
            </w:tcBorders>
            <w:vAlign w:val="center"/>
            <w:hideMark/>
          </w:tcPr>
          <w:p w14:paraId="08A271C4"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AF31ACF"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3B58504A"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460CFF99"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7BB66CD1"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593A649C" w14:textId="77777777" w:rsidTr="004D6805">
        <w:trPr>
          <w:trHeight w:val="431"/>
          <w:jc w:val="center"/>
        </w:trPr>
        <w:tc>
          <w:tcPr>
            <w:tcW w:w="421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0011452" w14:textId="3E4E8839"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747575F0" w14:textId="04C09278" w:rsidR="00EB1790"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EB1790" w:rsidRPr="0033148D" w14:paraId="345F69EA" w14:textId="77777777" w:rsidTr="004D6805">
        <w:trPr>
          <w:trHeight w:val="564"/>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0328838" w14:textId="14946B9A" w:rsidR="00EB1790" w:rsidRPr="0033148D" w:rsidRDefault="00EB1790"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DA09421" w14:textId="77777777" w:rsidR="00EB1790" w:rsidRPr="0033148D" w:rsidRDefault="00EB1790" w:rsidP="0033148D">
            <w:pPr>
              <w:spacing w:line="240" w:lineRule="auto"/>
              <w:rPr>
                <w:rFonts w:eastAsia="Times New Roman" w:cstheme="minorHAnsi"/>
                <w:color w:val="000000"/>
              </w:rPr>
            </w:pPr>
            <w:r w:rsidRPr="0033148D">
              <w:rPr>
                <w:rFonts w:cstheme="minorHAnsi"/>
                <w:color w:val="000000"/>
                <w:lang w:eastAsia="hr-HR"/>
              </w:rPr>
              <w:t>Provedba mjere vezana je uz provedbu EU projekta „Unaprjeđenje sustava evidencije i upravljanja državne imovine“. Ostvaren je zadani pokazatelj mjere - nadograđen je informacijski sustav upravljanja državnom imovinom RH.</w:t>
            </w:r>
          </w:p>
        </w:tc>
      </w:tr>
      <w:tr w:rsidR="00EB1790" w:rsidRPr="0033148D" w14:paraId="03714D6E" w14:textId="77777777" w:rsidTr="004D6805">
        <w:trPr>
          <w:trHeight w:val="429"/>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B4E2423" w14:textId="2BC42493" w:rsidR="00EB1790" w:rsidRPr="0033148D" w:rsidRDefault="00EB1790"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CD5636" w14:textId="77777777" w:rsidR="00EB1790" w:rsidRPr="0033148D" w:rsidRDefault="00330B7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03694BE3" w14:textId="77777777" w:rsidTr="004D6805">
        <w:trPr>
          <w:trHeight w:val="429"/>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CB43986" w14:textId="51167691" w:rsidR="00EB1790" w:rsidRPr="0033148D" w:rsidRDefault="00EB1790" w:rsidP="004D6805">
            <w:pPr>
              <w:spacing w:line="240" w:lineRule="auto"/>
              <w:rPr>
                <w:rFonts w:ascii="Calibri" w:eastAsia="Times New Roman" w:hAnsi="Calibri" w:cs="Times New Roman"/>
                <w:color w:val="000000"/>
                <w:lang w:eastAsia="hr-HR"/>
              </w:rPr>
            </w:pPr>
            <w:r w:rsidRPr="0033148D">
              <w:rPr>
                <w:b/>
                <w:bCs/>
                <w:lang w:eastAsia="hr-HR"/>
              </w:rPr>
              <w:lastRenderedPageBreak/>
              <w:t>Sljedeći koraci</w:t>
            </w:r>
            <w:r w:rsidR="004D6805">
              <w:rPr>
                <w:i/>
                <w:i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0F84E0" w14:textId="77777777" w:rsidR="00EB1790" w:rsidRPr="0033148D" w:rsidRDefault="00330B7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7990F404" w14:textId="77777777" w:rsidR="005103FC" w:rsidRPr="0033148D" w:rsidRDefault="005103FC" w:rsidP="0033148D">
      <w:pPr>
        <w:spacing w:line="240" w:lineRule="auto"/>
      </w:pPr>
    </w:p>
    <w:p w14:paraId="48EE3244" w14:textId="77777777" w:rsidR="002E597E" w:rsidRPr="00A644CC" w:rsidRDefault="002E597E" w:rsidP="00267611">
      <w:pPr>
        <w:pStyle w:val="Heading2"/>
        <w:rPr>
          <w:b/>
        </w:rPr>
      </w:pPr>
      <w:bookmarkStart w:id="27" w:name="_Toc183591327"/>
      <w:r w:rsidRPr="00A644CC">
        <w:rPr>
          <w:b/>
        </w:rPr>
        <w:t>B – BORBA PROTIV KORUPCIJE</w:t>
      </w:r>
      <w:bookmarkEnd w:id="27"/>
    </w:p>
    <w:p w14:paraId="750B3B6F" w14:textId="77777777" w:rsidR="002E597E" w:rsidRPr="007F378A" w:rsidRDefault="002E597E" w:rsidP="00267611">
      <w:pPr>
        <w:pStyle w:val="Heading3"/>
        <w:rPr>
          <w:lang w:eastAsia="hr-HR"/>
        </w:rPr>
      </w:pPr>
      <w:bookmarkStart w:id="28" w:name="_Toc183591328"/>
      <w:r w:rsidRPr="007F378A">
        <w:t>MJERA 11 - ZAŠTITA PRIJAVITELJA NEPRAVILNOSTI</w:t>
      </w:r>
      <w:bookmarkEnd w:id="28"/>
    </w:p>
    <w:tbl>
      <w:tblPr>
        <w:tblW w:w="14596" w:type="dxa"/>
        <w:jc w:val="center"/>
        <w:tblLook w:val="04A0" w:firstRow="1" w:lastRow="0" w:firstColumn="1" w:lastColumn="0" w:noHBand="0" w:noVBand="1"/>
      </w:tblPr>
      <w:tblGrid>
        <w:gridCol w:w="1980"/>
        <w:gridCol w:w="2126"/>
        <w:gridCol w:w="2693"/>
        <w:gridCol w:w="2410"/>
        <w:gridCol w:w="2552"/>
        <w:gridCol w:w="2835"/>
      </w:tblGrid>
      <w:tr w:rsidR="005103FC" w:rsidRPr="0033148D" w14:paraId="4DD85AE8" w14:textId="77777777" w:rsidTr="004D6805">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756CB6" w14:textId="0FD8FF96" w:rsidR="005103FC"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5103FC" w:rsidRPr="0033148D">
              <w:rPr>
                <w:rFonts w:ascii="Calibri" w:eastAsia="Times New Roman" w:hAnsi="Calibri" w:cs="Times New Roman"/>
                <w:b/>
                <w:bCs/>
                <w:color w:val="000000"/>
                <w:lang w:eastAsia="hr-HR"/>
              </w:rPr>
              <w:t>11.1. Provedba edukacije za pravosudne dužnosnike u kontekstu zaštite prijavitelja nepravilnosti</w:t>
            </w:r>
          </w:p>
        </w:tc>
      </w:tr>
      <w:tr w:rsidR="005103FC" w:rsidRPr="0033148D" w14:paraId="1446895B"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C010C8B" w14:textId="44A35945" w:rsidR="005103FC"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F4B3BEB" w14:textId="77777777" w:rsidR="005103FC" w:rsidRPr="0033148D" w:rsidRDefault="00330B7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Pravosudna akademija</w:t>
            </w:r>
          </w:p>
        </w:tc>
      </w:tr>
      <w:tr w:rsidR="005103FC" w:rsidRPr="0033148D" w14:paraId="327E9B79"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6982578" w14:textId="2D6599D7" w:rsidR="005103FC" w:rsidRPr="0033148D" w:rsidRDefault="00412D4C"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5E237AB" w14:textId="6B73F936"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33513133" w14:textId="77777777" w:rsidTr="00FD1185">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E1F5091"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2629BD3"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C00BCA1" w14:textId="349CA9F6"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404D4738" w14:textId="77777777" w:rsidTr="00FD1185">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4CD93AA8"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44AC23A9"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AE0E210" w14:textId="280CB847"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10609C23"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CAF7AE5" w14:textId="3B6822EE"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30A620F"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rujan 2022.</w:t>
            </w:r>
          </w:p>
        </w:tc>
      </w:tr>
      <w:tr w:rsidR="005103FC" w:rsidRPr="0033148D" w14:paraId="65857F17"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15723C3" w14:textId="474522CE"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r w:rsidR="004D6805">
              <w:rPr>
                <w:rFonts w:ascii="Calibri" w:eastAsia="Times New Roman" w:hAnsi="Calibri" w:cs="Times New Roman"/>
                <w:bCs/>
                <w:i/>
                <w:color w:val="000000"/>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703BD63"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5103FC" w:rsidRPr="0033148D" w14:paraId="026BAFA6"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AD3D305" w14:textId="1C38858D" w:rsidR="005103FC"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B5336D7"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t>Provedene minimalno 2 edukacije godišnje s ukupno 20 polaznika.</w:t>
            </w:r>
          </w:p>
        </w:tc>
      </w:tr>
      <w:tr w:rsidR="005103FC" w:rsidRPr="0033148D" w14:paraId="49B7BCB8" w14:textId="77777777" w:rsidTr="00FD1185">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3BBB453" w14:textId="52E2DDBA" w:rsidR="005103FC" w:rsidRPr="0033148D" w:rsidRDefault="005103FC"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019185"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E386C16"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59780DA"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30370496"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5103FC" w:rsidRPr="0033148D" w14:paraId="7C23509A" w14:textId="77777777" w:rsidTr="001340F3">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28CFAA99"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41D07B8F"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7620FDD4"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6AB6A8E5"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7C7A5532" w14:textId="2BA0AD6F" w:rsidR="005103FC" w:rsidRPr="0033148D" w:rsidRDefault="001340F3"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5103FC" w:rsidRPr="0033148D" w14:paraId="3AAF8438" w14:textId="77777777" w:rsidTr="004D6805">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1D82472" w14:textId="6A0E1921"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0BFB170A" w14:textId="5E2BB0AE" w:rsidR="005103FC"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5103FC" w:rsidRPr="0033148D" w14:paraId="605B8775" w14:textId="77777777" w:rsidTr="00D630DB">
        <w:trPr>
          <w:trHeight w:val="1644"/>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702AE9" w14:textId="528A8B90" w:rsidR="005103FC" w:rsidRPr="0033148D" w:rsidRDefault="005103FC"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2B334B"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Pravosudna akademija provela je u predmetnom razdoblju pet jednodnevnih radionica (2022. – 2 i 2023. - 3) za pravosudne dužnosnike i savjetnike u pravosuđu na temu zaštite prijavitelja nepravilnosti. Ukupno je sudjelovao 71 polaznik.</w:t>
            </w:r>
          </w:p>
        </w:tc>
      </w:tr>
      <w:tr w:rsidR="005103FC" w:rsidRPr="0033148D" w14:paraId="3B93E4CC"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2686AB9" w14:textId="633715D5"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AD2FF2A" w14:textId="77777777" w:rsidR="005103FC" w:rsidRPr="0033148D" w:rsidRDefault="00AF51C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58B77D87"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3BD275F" w14:textId="0527BC1B" w:rsidR="005103FC" w:rsidRPr="0033148D" w:rsidRDefault="005103FC" w:rsidP="004D6805">
            <w:pPr>
              <w:spacing w:line="240" w:lineRule="auto"/>
              <w:rPr>
                <w:rFonts w:ascii="Calibri" w:eastAsia="Times New Roman" w:hAnsi="Calibri" w:cs="Times New Roman"/>
                <w:color w:val="000000"/>
                <w:lang w:eastAsia="hr-HR"/>
              </w:rPr>
            </w:pPr>
            <w:r w:rsidRPr="0033148D">
              <w:rPr>
                <w:b/>
                <w:bCs/>
                <w:lang w:eastAsia="hr-HR"/>
              </w:rPr>
              <w:t>Sljedeći koraci</w:t>
            </w:r>
            <w:r w:rsidR="004D6805">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A9C495D" w14:textId="77777777" w:rsidR="005103FC" w:rsidRPr="0033148D" w:rsidRDefault="00AF51CB"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125790EB" w14:textId="688EA904" w:rsidR="005103FC" w:rsidRDefault="005103FC" w:rsidP="0033148D">
      <w:pPr>
        <w:spacing w:line="240" w:lineRule="auto"/>
      </w:pPr>
    </w:p>
    <w:p w14:paraId="43F6F3CA" w14:textId="77777777" w:rsidR="007F378A" w:rsidRPr="0033148D" w:rsidRDefault="007F378A" w:rsidP="0033148D">
      <w:pPr>
        <w:spacing w:line="240" w:lineRule="auto"/>
      </w:pPr>
    </w:p>
    <w:tbl>
      <w:tblPr>
        <w:tblW w:w="14596" w:type="dxa"/>
        <w:jc w:val="center"/>
        <w:tblLook w:val="04A0" w:firstRow="1" w:lastRow="0" w:firstColumn="1" w:lastColumn="0" w:noHBand="0" w:noVBand="1"/>
      </w:tblPr>
      <w:tblGrid>
        <w:gridCol w:w="1980"/>
        <w:gridCol w:w="2126"/>
        <w:gridCol w:w="2693"/>
        <w:gridCol w:w="2410"/>
        <w:gridCol w:w="2552"/>
        <w:gridCol w:w="2835"/>
      </w:tblGrid>
      <w:tr w:rsidR="005103FC" w:rsidRPr="0033148D" w14:paraId="5FDFD977" w14:textId="77777777" w:rsidTr="00F355E7">
        <w:trPr>
          <w:trHeight w:val="70"/>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3DB1EE" w14:textId="27AC1D34" w:rsidR="005103FC" w:rsidRPr="0033148D" w:rsidRDefault="007B60AF" w:rsidP="0033148D">
            <w:pPr>
              <w:spacing w:after="0" w:line="240" w:lineRule="auto"/>
              <w:jc w:val="center"/>
              <w:rPr>
                <w:rFonts w:ascii="Calibri" w:eastAsia="Times New Roman" w:hAnsi="Calibri" w:cs="Times New Roman"/>
                <w:color w:val="000000"/>
                <w:lang w:eastAsia="hr-HR"/>
              </w:rPr>
            </w:pPr>
            <w:r w:rsidRPr="0033148D">
              <w:rPr>
                <w:b/>
              </w:rPr>
              <w:t xml:space="preserve">Aktivnost </w:t>
            </w:r>
            <w:r w:rsidR="005103FC" w:rsidRPr="0033148D">
              <w:rPr>
                <w:rFonts w:ascii="Calibri" w:eastAsia="Times New Roman" w:hAnsi="Calibri" w:cs="Times New Roman"/>
                <w:b/>
                <w:bCs/>
                <w:color w:val="000000"/>
                <w:lang w:eastAsia="hr-HR"/>
              </w:rPr>
              <w:t>11.2. Provedba edukacija u kontekstu zaštite prijavitelja nepravilnosti za povjerljive osobe, sindikalne</w:t>
            </w:r>
            <w:r w:rsidRPr="0033148D">
              <w:rPr>
                <w:rFonts w:ascii="Calibri" w:eastAsia="Times New Roman" w:hAnsi="Calibri" w:cs="Times New Roman"/>
                <w:b/>
                <w:bCs/>
                <w:color w:val="000000"/>
                <w:lang w:eastAsia="hr-HR"/>
              </w:rPr>
              <w:t xml:space="preserve"> </w:t>
            </w:r>
            <w:r w:rsidR="005103FC" w:rsidRPr="0033148D">
              <w:rPr>
                <w:rFonts w:ascii="Calibri" w:eastAsia="Times New Roman" w:hAnsi="Calibri" w:cs="Times New Roman"/>
                <w:b/>
                <w:bCs/>
                <w:color w:val="000000"/>
                <w:lang w:eastAsia="hr-HR"/>
              </w:rPr>
              <w:t>povjerenike, pružatelje besplatne pravne pomoći i zaposlenike</w:t>
            </w:r>
          </w:p>
        </w:tc>
      </w:tr>
      <w:tr w:rsidR="005103FC" w:rsidRPr="0033148D" w14:paraId="2028A1F7"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05A035" w14:textId="343CEEE1" w:rsidR="005103FC"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DDFDCDB"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pravosuđa i uprave</w:t>
            </w:r>
          </w:p>
        </w:tc>
      </w:tr>
      <w:tr w:rsidR="005103FC" w:rsidRPr="0033148D" w14:paraId="1FC5E03F"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F5A0D30" w14:textId="606C3112" w:rsidR="005103FC" w:rsidRPr="0033148D" w:rsidRDefault="00412D4C"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CB89201" w14:textId="6AD184B5"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7FC67083" w14:textId="77777777" w:rsidTr="00FD1185">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53886FD"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49F50EE"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EF09D11" w14:textId="002A1CF9"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6BA013FE" w14:textId="77777777" w:rsidTr="00FD1185">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7AD73B89"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2E13F0FB"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E108A8D"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Za provedbu edukacija: Ured Pučkog pravobranitelja, Državna škola za javnu upravu</w:t>
            </w:r>
          </w:p>
        </w:tc>
      </w:tr>
      <w:tr w:rsidR="005103FC" w:rsidRPr="0033148D" w14:paraId="6000F6F2"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BA821BD" w14:textId="538350B1"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C234453" w14:textId="77777777" w:rsidR="005103FC"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r</w:t>
            </w:r>
            <w:r w:rsidR="005103FC" w:rsidRPr="0033148D">
              <w:rPr>
                <w:rFonts w:ascii="Calibri" w:eastAsia="Times New Roman" w:hAnsi="Calibri" w:cs="Times New Roman"/>
                <w:color w:val="000000"/>
                <w:lang w:eastAsia="hr-HR"/>
              </w:rPr>
              <w:t>ujan 2022.</w:t>
            </w:r>
          </w:p>
        </w:tc>
      </w:tr>
      <w:tr w:rsidR="005103FC" w:rsidRPr="0033148D" w14:paraId="0705C888"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AC79D94" w14:textId="05E679F3"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6F52E81" w14:textId="77777777" w:rsidR="005103FC"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5103FC" w:rsidRPr="0033148D">
              <w:rPr>
                <w:rFonts w:ascii="Calibri" w:eastAsia="Times New Roman" w:hAnsi="Calibri" w:cs="Times New Roman"/>
                <w:color w:val="000000"/>
                <w:lang w:eastAsia="hr-HR"/>
              </w:rPr>
              <w:t>rosinac 2023.</w:t>
            </w:r>
          </w:p>
        </w:tc>
      </w:tr>
      <w:tr w:rsidR="005103FC" w:rsidRPr="0033148D" w14:paraId="01EA9AD4"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C3D86E1" w14:textId="30016BCC" w:rsidR="005103FC"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F6C1EE8"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t>Provedeno ukupno 5 edukacija s ukupno najmanje 75 polaznika</w:t>
            </w:r>
          </w:p>
        </w:tc>
      </w:tr>
      <w:tr w:rsidR="005103FC" w:rsidRPr="0033148D" w14:paraId="31E28702" w14:textId="77777777" w:rsidTr="00FD1185">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04263C0"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Stupanj provedenosti: </w:t>
            </w:r>
          </w:p>
          <w:p w14:paraId="2DF98117" w14:textId="75E12063" w:rsidR="005103FC" w:rsidRPr="0033148D" w:rsidRDefault="005103FC" w:rsidP="0033148D">
            <w:pPr>
              <w:spacing w:after="0" w:line="240" w:lineRule="auto"/>
              <w:rPr>
                <w:rFonts w:ascii="Calibri" w:eastAsia="Times New Roman" w:hAnsi="Calibri" w:cs="Times New Roman"/>
                <w:bCs/>
                <w:i/>
                <w:color w:val="000000"/>
                <w:lang w:eastAsia="hr-HR"/>
              </w:rPr>
            </w:pP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DA0CA5"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6324061B"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780B36C9"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6141BC52"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5103FC" w:rsidRPr="0033148D" w14:paraId="5349BB5F" w14:textId="77777777" w:rsidTr="001340F3">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5A621CCF"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0F81D2D"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4983F102"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65C1B344"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53071F54"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5103FC" w:rsidRPr="0033148D" w14:paraId="03A35A14" w14:textId="77777777" w:rsidTr="00FD1185">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EA60DE4" w14:textId="7299626B"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536FD0A0" w14:textId="3D608C67" w:rsidR="005103FC"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5103FC" w:rsidRPr="0033148D" w14:paraId="0D306507" w14:textId="77777777" w:rsidTr="00277F0F">
        <w:trPr>
          <w:trHeight w:val="155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C35D7A" w14:textId="20D5363F" w:rsidR="005103FC" w:rsidRPr="0033148D" w:rsidRDefault="005103FC"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E5CB3D" w14:textId="77777777" w:rsidR="005103FC" w:rsidRPr="0033148D" w:rsidRDefault="005103FC" w:rsidP="0033148D">
            <w:pPr>
              <w:spacing w:after="0" w:line="240" w:lineRule="auto"/>
              <w:rPr>
                <w:rFonts w:cstheme="minorHAnsi"/>
              </w:rPr>
            </w:pPr>
            <w:r w:rsidRPr="0033148D">
              <w:rPr>
                <w:rFonts w:cstheme="minorHAnsi"/>
              </w:rPr>
              <w:t xml:space="preserve">Ministarstvo pravosuđa i uprave održalo je 3 edukacije za </w:t>
            </w:r>
            <w:r w:rsidRPr="0033148D">
              <w:rPr>
                <w:rFonts w:eastAsia="Times New Roman" w:cstheme="minorHAnsi"/>
                <w:color w:val="000000"/>
                <w:lang w:eastAsia="hr-HR"/>
              </w:rPr>
              <w:t>povjerljive osobe i zaposlenike</w:t>
            </w:r>
            <w:r w:rsidRPr="0033148D">
              <w:rPr>
                <w:rFonts w:cstheme="minorHAnsi"/>
              </w:rPr>
              <w:t xml:space="preserve"> vezano za provedbu Zakona o zaštiti prijavitelja nepravilnosti u prostorijama Državne škole za javnu upravu (u svibnju, rujnu i listopadu 2023.). Edukaciju u svibnju pohađalo je 20 polaznika, u rujnu 17 i u listopadu 15 polaznika. Polaznici edukacije bile su povjerljive osobe iz državnih i drugih javnopravnih tijela. </w:t>
            </w:r>
          </w:p>
          <w:p w14:paraId="53B2CCA9" w14:textId="77777777" w:rsidR="005103FC" w:rsidRPr="0033148D" w:rsidRDefault="005103FC" w:rsidP="0033148D">
            <w:pPr>
              <w:spacing w:after="0" w:line="240" w:lineRule="auto"/>
              <w:rPr>
                <w:rFonts w:cstheme="minorHAnsi"/>
              </w:rPr>
            </w:pPr>
            <w:r w:rsidRPr="0033148D">
              <w:rPr>
                <w:rFonts w:cstheme="minorHAnsi"/>
              </w:rPr>
              <w:t>Ministarstvo pravosuđa i uprave u ožujku 2023. je održalo 1 edukaciju za predstavnike pravnih osoba u vlasništvu Republike Hrvatske na kojoj je sudjelovalo 12 polaznika.</w:t>
            </w:r>
          </w:p>
          <w:p w14:paraId="0D623FA5"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t>Aktivnost je relevantna jer unaprjeđuje dostupnost informacija javnosti budući da prijavitelji nepravilnosti (tzv. „zviždači“) pružaju javnosti informacije od javnog interesa. Indirektno je aktivnost također relevantna za javnu odgovornost jer unaprjeđuje pravila i mehanizme što se tiče zaštite prijavitelja nepravilnosti.</w:t>
            </w:r>
          </w:p>
        </w:tc>
      </w:tr>
      <w:tr w:rsidR="005103FC" w:rsidRPr="0033148D" w14:paraId="2E1D8D74"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4A066FB" w14:textId="26E56FEF"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89B6FD1" w14:textId="77777777" w:rsidR="005103FC" w:rsidRPr="0033148D" w:rsidRDefault="005675D6"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79C33D2B"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EC85D87" w14:textId="44C9865F" w:rsidR="005103FC" w:rsidRPr="0033148D" w:rsidRDefault="005103FC" w:rsidP="004D6805">
            <w:pPr>
              <w:spacing w:line="240" w:lineRule="auto"/>
              <w:rPr>
                <w:rFonts w:ascii="Calibri" w:eastAsia="Times New Roman" w:hAnsi="Calibri" w:cs="Times New Roman"/>
                <w:color w:val="000000"/>
                <w:lang w:eastAsia="hr-HR"/>
              </w:rPr>
            </w:pPr>
            <w:r w:rsidRPr="0033148D">
              <w:rPr>
                <w:b/>
                <w:bCs/>
                <w:lang w:eastAsia="hr-HR"/>
              </w:rPr>
              <w:lastRenderedPageBreak/>
              <w:t>Sljedeći koraci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7B8DB56" w14:textId="77777777" w:rsidR="005103FC" w:rsidRPr="0033148D" w:rsidRDefault="005675D6"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520E8D09" w14:textId="77777777" w:rsidR="005103FC" w:rsidRPr="0033148D" w:rsidRDefault="005103FC" w:rsidP="0033148D">
      <w:pPr>
        <w:spacing w:line="240" w:lineRule="auto"/>
      </w:pPr>
    </w:p>
    <w:p w14:paraId="13457A33" w14:textId="77777777" w:rsidR="002E597E" w:rsidRPr="007F378A" w:rsidRDefault="002E597E" w:rsidP="00267611">
      <w:pPr>
        <w:pStyle w:val="Heading3"/>
      </w:pPr>
      <w:bookmarkStart w:id="29" w:name="_Toc183591329"/>
      <w:r w:rsidRPr="007F378A">
        <w:t xml:space="preserve">MJERA 12 - UNAPRJEĐENJE NORMATIVNOG OKVIRA ZA </w:t>
      </w:r>
      <w:r w:rsidRPr="007F378A">
        <w:rPr>
          <w:iCs/>
        </w:rPr>
        <w:t>SPRJEČAVANJE KORUPCIJE</w:t>
      </w:r>
      <w:bookmarkEnd w:id="29"/>
    </w:p>
    <w:tbl>
      <w:tblPr>
        <w:tblW w:w="14458" w:type="dxa"/>
        <w:tblInd w:w="421" w:type="dxa"/>
        <w:tblLayout w:type="fixed"/>
        <w:tblLook w:val="04A0" w:firstRow="1" w:lastRow="0" w:firstColumn="1" w:lastColumn="0" w:noHBand="0" w:noVBand="1"/>
      </w:tblPr>
      <w:tblGrid>
        <w:gridCol w:w="934"/>
        <w:gridCol w:w="3176"/>
        <w:gridCol w:w="2410"/>
        <w:gridCol w:w="2693"/>
        <w:gridCol w:w="2694"/>
        <w:gridCol w:w="2551"/>
      </w:tblGrid>
      <w:tr w:rsidR="005103FC" w:rsidRPr="0033148D" w14:paraId="606D273A" w14:textId="77777777" w:rsidTr="004D6805">
        <w:trPr>
          <w:trHeight w:val="431"/>
        </w:trPr>
        <w:tc>
          <w:tcPr>
            <w:tcW w:w="1445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21DECC" w14:textId="1778A339" w:rsidR="005103FC" w:rsidRPr="0033148D" w:rsidRDefault="007B60AF" w:rsidP="002B18D9">
            <w:pPr>
              <w:spacing w:after="0" w:line="240" w:lineRule="auto"/>
              <w:jc w:val="center"/>
              <w:rPr>
                <w:rFonts w:ascii="Calibri" w:eastAsia="Times New Roman" w:hAnsi="Calibri" w:cs="Times New Roman"/>
                <w:color w:val="000000"/>
                <w:lang w:eastAsia="hr-HR"/>
              </w:rPr>
            </w:pPr>
            <w:r w:rsidRPr="0033148D">
              <w:rPr>
                <w:b/>
              </w:rPr>
              <w:t xml:space="preserve">Aktivnost </w:t>
            </w:r>
            <w:r w:rsidR="005103FC" w:rsidRPr="0033148D">
              <w:rPr>
                <w:rFonts w:ascii="Calibri" w:eastAsia="Times New Roman" w:hAnsi="Calibri" w:cs="Times New Roman"/>
                <w:b/>
                <w:bCs/>
                <w:color w:val="000000"/>
                <w:lang w:eastAsia="hr-HR"/>
              </w:rPr>
              <w:t>12.1. Donošenje Akcijskog plana za razdoblje od 2022. do 2024. uz Strategiju sprječavanja korupcije za</w:t>
            </w:r>
            <w:r w:rsidRPr="0033148D">
              <w:rPr>
                <w:rFonts w:ascii="Calibri" w:eastAsia="Times New Roman" w:hAnsi="Calibri" w:cs="Times New Roman"/>
                <w:b/>
                <w:bCs/>
                <w:color w:val="000000"/>
                <w:lang w:eastAsia="hr-HR"/>
              </w:rPr>
              <w:t xml:space="preserve"> </w:t>
            </w:r>
            <w:r w:rsidR="005103FC" w:rsidRPr="0033148D">
              <w:rPr>
                <w:rFonts w:ascii="Calibri" w:eastAsia="Times New Roman" w:hAnsi="Calibri" w:cs="Times New Roman"/>
                <w:b/>
                <w:bCs/>
                <w:color w:val="000000"/>
                <w:lang w:eastAsia="hr-HR"/>
              </w:rPr>
              <w:t>razdoblje od 2021. do 2030. godine</w:t>
            </w:r>
          </w:p>
        </w:tc>
      </w:tr>
      <w:tr w:rsidR="002B18D9" w:rsidRPr="0033148D" w14:paraId="73204065" w14:textId="77777777" w:rsidTr="004D6805">
        <w:trPr>
          <w:trHeight w:val="43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64666EF" w14:textId="773A4107" w:rsidR="005103FC" w:rsidRPr="0033148D" w:rsidRDefault="005103FC" w:rsidP="002B18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w:t>
            </w:r>
            <w:r w:rsidR="00412D4C" w:rsidRPr="0033148D">
              <w:rPr>
                <w:rFonts w:ascii="Calibri" w:eastAsia="Times New Roman" w:hAnsi="Calibri" w:cs="Times New Roman"/>
                <w:b/>
                <w:bCs/>
                <w:color w:val="000000"/>
                <w:lang w:eastAsia="hr-HR"/>
              </w:rPr>
              <w:t xml:space="preserve">elj aktivnosti: </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E7A7E2"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pravosuđa i uprave</w:t>
            </w:r>
          </w:p>
        </w:tc>
      </w:tr>
      <w:tr w:rsidR="002B18D9" w:rsidRPr="0033148D" w14:paraId="4EF45E73" w14:textId="77777777" w:rsidTr="004D6805">
        <w:trPr>
          <w:trHeight w:val="43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B54E4B4" w14:textId="30EEF3B2" w:rsidR="005103FC" w:rsidRPr="0033148D" w:rsidRDefault="00412D4C" w:rsidP="002B18D9">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12D6A13D" w14:textId="1033314E"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2B18D9" w:rsidRPr="0033148D" w14:paraId="7609322F" w14:textId="77777777" w:rsidTr="002B18D9">
        <w:trPr>
          <w:trHeight w:val="199"/>
        </w:trPr>
        <w:tc>
          <w:tcPr>
            <w:tcW w:w="934" w:type="dxa"/>
            <w:vMerge w:val="restart"/>
            <w:tcBorders>
              <w:top w:val="nil"/>
              <w:left w:val="single" w:sz="4" w:space="0" w:color="auto"/>
              <w:bottom w:val="single" w:sz="4" w:space="0" w:color="auto"/>
              <w:right w:val="single" w:sz="4" w:space="0" w:color="auto"/>
            </w:tcBorders>
            <w:shd w:val="clear" w:color="000000" w:fill="F2F2F2"/>
            <w:vAlign w:val="center"/>
            <w:hideMark/>
          </w:tcPr>
          <w:p w14:paraId="0FD851F3" w14:textId="77777777" w:rsidR="005103FC" w:rsidRPr="0033148D" w:rsidRDefault="005103FC" w:rsidP="002B18D9">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3176" w:type="dxa"/>
            <w:tcBorders>
              <w:top w:val="nil"/>
              <w:left w:val="nil"/>
              <w:bottom w:val="single" w:sz="4" w:space="0" w:color="auto"/>
              <w:right w:val="single" w:sz="4" w:space="0" w:color="auto"/>
            </w:tcBorders>
            <w:shd w:val="clear" w:color="000000" w:fill="F2F2F2"/>
            <w:vAlign w:val="center"/>
            <w:hideMark/>
          </w:tcPr>
          <w:p w14:paraId="78CC8787" w14:textId="77777777" w:rsidR="005103FC" w:rsidRPr="0033148D" w:rsidRDefault="005103FC" w:rsidP="002B18D9">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59784558" w14:textId="076DC47D"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2B18D9" w:rsidRPr="0033148D" w14:paraId="417FC99A" w14:textId="77777777" w:rsidTr="002B18D9">
        <w:trPr>
          <w:trHeight w:val="60"/>
        </w:trPr>
        <w:tc>
          <w:tcPr>
            <w:tcW w:w="934" w:type="dxa"/>
            <w:vMerge/>
            <w:tcBorders>
              <w:top w:val="nil"/>
              <w:left w:val="single" w:sz="4" w:space="0" w:color="auto"/>
              <w:bottom w:val="single" w:sz="4" w:space="0" w:color="auto"/>
              <w:right w:val="single" w:sz="4" w:space="0" w:color="auto"/>
            </w:tcBorders>
            <w:vAlign w:val="center"/>
            <w:hideMark/>
          </w:tcPr>
          <w:p w14:paraId="59D72085" w14:textId="77777777" w:rsidR="005103FC" w:rsidRPr="0033148D" w:rsidRDefault="005103FC" w:rsidP="002B18D9">
            <w:pPr>
              <w:spacing w:after="0" w:line="240" w:lineRule="auto"/>
              <w:rPr>
                <w:rFonts w:ascii="Calibri" w:eastAsia="Times New Roman" w:hAnsi="Calibri" w:cs="Times New Roman"/>
                <w:b/>
                <w:bCs/>
                <w:color w:val="000000"/>
                <w:lang w:eastAsia="hr-HR"/>
              </w:rPr>
            </w:pPr>
          </w:p>
        </w:tc>
        <w:tc>
          <w:tcPr>
            <w:tcW w:w="3176" w:type="dxa"/>
            <w:tcBorders>
              <w:top w:val="nil"/>
              <w:left w:val="nil"/>
              <w:bottom w:val="single" w:sz="4" w:space="0" w:color="auto"/>
              <w:right w:val="single" w:sz="4" w:space="0" w:color="auto"/>
            </w:tcBorders>
            <w:shd w:val="clear" w:color="000000" w:fill="F2F2F2"/>
            <w:vAlign w:val="center"/>
            <w:hideMark/>
          </w:tcPr>
          <w:p w14:paraId="2D077A70" w14:textId="77777777" w:rsidR="005103FC" w:rsidRPr="0033148D" w:rsidRDefault="005103FC" w:rsidP="002B18D9">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12F0F8A7"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Predstavnici državnih tijela, jedinica lokalne i područne (regionalne) samouprave, udruge civilnog društva</w:t>
            </w:r>
          </w:p>
        </w:tc>
      </w:tr>
      <w:tr w:rsidR="002B18D9" w:rsidRPr="0033148D" w14:paraId="62BBD9D6" w14:textId="77777777" w:rsidTr="004D6805">
        <w:trPr>
          <w:trHeight w:val="43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895B565" w14:textId="0611FD2D" w:rsidR="005103FC" w:rsidRPr="0033148D" w:rsidRDefault="005103FC" w:rsidP="002B18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725C8734" w14:textId="77777777" w:rsidR="005103FC"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w:t>
            </w:r>
            <w:r w:rsidR="005103FC" w:rsidRPr="0033148D">
              <w:rPr>
                <w:rFonts w:ascii="Calibri" w:eastAsia="Times New Roman" w:hAnsi="Calibri" w:cs="Times New Roman"/>
                <w:color w:val="000000"/>
                <w:lang w:eastAsia="hr-HR"/>
              </w:rPr>
              <w:t>rpanj 2022.</w:t>
            </w:r>
          </w:p>
        </w:tc>
      </w:tr>
      <w:tr w:rsidR="002B18D9" w:rsidRPr="0033148D" w14:paraId="2C8820F2" w14:textId="77777777" w:rsidTr="004D6805">
        <w:trPr>
          <w:trHeight w:val="43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60AEC1F" w14:textId="244132F0" w:rsidR="005103FC" w:rsidRPr="0033148D" w:rsidRDefault="005103FC" w:rsidP="002B18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2C113E19" w14:textId="77777777" w:rsidR="005103FC"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5103FC" w:rsidRPr="0033148D">
              <w:rPr>
                <w:rFonts w:ascii="Calibri" w:eastAsia="Times New Roman" w:hAnsi="Calibri" w:cs="Times New Roman"/>
                <w:color w:val="000000"/>
                <w:lang w:eastAsia="hr-HR"/>
              </w:rPr>
              <w:t>rosinac 2024.</w:t>
            </w:r>
          </w:p>
        </w:tc>
      </w:tr>
      <w:tr w:rsidR="002B18D9" w:rsidRPr="0033148D" w14:paraId="728EABAE" w14:textId="77777777" w:rsidTr="002B18D9">
        <w:trPr>
          <w:trHeight w:val="262"/>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D64B1E9" w14:textId="77777777" w:rsidR="005103FC" w:rsidRPr="0033148D" w:rsidRDefault="005103FC" w:rsidP="002B18D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1B0A3B39"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t>Izrađen Akcijski plan za razdoblje od 2022. do 2024. uz Strategiju sprječavanja korupcije za razdoblje od 2021. do 2030. godine</w:t>
            </w:r>
            <w:r w:rsidR="00504E62" w:rsidRPr="0033148D">
              <w:t>.</w:t>
            </w:r>
          </w:p>
        </w:tc>
      </w:tr>
      <w:tr w:rsidR="009B620A" w:rsidRPr="0033148D" w14:paraId="1928E69D" w14:textId="77777777" w:rsidTr="009B620A">
        <w:trPr>
          <w:trHeight w:val="629"/>
        </w:trPr>
        <w:tc>
          <w:tcPr>
            <w:tcW w:w="4110"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2146F41D" w14:textId="1D5B01B9" w:rsidR="005103FC" w:rsidRPr="0033148D" w:rsidRDefault="005103FC" w:rsidP="002B18D9">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41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A0FD134" w14:textId="77777777" w:rsidR="005103FC" w:rsidRPr="0033148D" w:rsidRDefault="005103FC" w:rsidP="002B18D9">
            <w:pPr>
              <w:spacing w:after="0" w:line="240" w:lineRule="auto"/>
              <w:ind w:right="14"/>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0BD99B79"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362E33CB"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551" w:type="dxa"/>
            <w:tcBorders>
              <w:top w:val="single" w:sz="4" w:space="0" w:color="auto"/>
              <w:left w:val="nil"/>
              <w:bottom w:val="single" w:sz="4" w:space="0" w:color="auto"/>
              <w:right w:val="single" w:sz="4" w:space="0" w:color="auto"/>
            </w:tcBorders>
            <w:shd w:val="clear" w:color="000000" w:fill="F2F2F2"/>
            <w:vAlign w:val="center"/>
            <w:hideMark/>
          </w:tcPr>
          <w:p w14:paraId="2585CD7C"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2B18D9" w:rsidRPr="0033148D" w14:paraId="0DC85ACB" w14:textId="77777777" w:rsidTr="009B620A">
        <w:trPr>
          <w:trHeight w:val="562"/>
        </w:trPr>
        <w:tc>
          <w:tcPr>
            <w:tcW w:w="4110" w:type="dxa"/>
            <w:gridSpan w:val="2"/>
            <w:vMerge/>
            <w:tcBorders>
              <w:top w:val="single" w:sz="4" w:space="0" w:color="auto"/>
              <w:left w:val="single" w:sz="4" w:space="0" w:color="auto"/>
              <w:bottom w:val="single" w:sz="4" w:space="0" w:color="000000"/>
              <w:right w:val="single" w:sz="4" w:space="0" w:color="000000"/>
            </w:tcBorders>
            <w:vAlign w:val="center"/>
            <w:hideMark/>
          </w:tcPr>
          <w:p w14:paraId="5123E356" w14:textId="77777777" w:rsidR="005103FC" w:rsidRPr="0033148D" w:rsidRDefault="005103FC" w:rsidP="002B18D9">
            <w:pPr>
              <w:spacing w:after="0" w:line="240" w:lineRule="auto"/>
              <w:rPr>
                <w:rFonts w:ascii="Calibri" w:eastAsia="Times New Roman" w:hAnsi="Calibri" w:cs="Times New Roman"/>
                <w:b/>
                <w:bCs/>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68D52CF6"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52AC796"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6537A6BF"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551" w:type="dxa"/>
            <w:tcBorders>
              <w:top w:val="nil"/>
              <w:left w:val="nil"/>
              <w:bottom w:val="single" w:sz="4" w:space="0" w:color="auto"/>
              <w:right w:val="single" w:sz="4" w:space="0" w:color="auto"/>
            </w:tcBorders>
            <w:shd w:val="clear" w:color="auto" w:fill="A8D08D" w:themeFill="accent6" w:themeFillTint="99"/>
            <w:noWrap/>
            <w:vAlign w:val="center"/>
            <w:hideMark/>
          </w:tcPr>
          <w:p w14:paraId="2304E4C0"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2B18D9" w:rsidRPr="0033148D" w14:paraId="4B2EC26F" w14:textId="77777777" w:rsidTr="004D6805">
        <w:trPr>
          <w:trHeight w:val="431"/>
        </w:trPr>
        <w:tc>
          <w:tcPr>
            <w:tcW w:w="4110"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A4FC455" w14:textId="67A0628B"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348" w:type="dxa"/>
            <w:gridSpan w:val="4"/>
            <w:tcBorders>
              <w:top w:val="nil"/>
              <w:left w:val="nil"/>
              <w:bottom w:val="single" w:sz="4" w:space="0" w:color="auto"/>
              <w:right w:val="single" w:sz="4" w:space="0" w:color="auto"/>
            </w:tcBorders>
            <w:shd w:val="clear" w:color="auto" w:fill="auto"/>
            <w:noWrap/>
            <w:vAlign w:val="center"/>
          </w:tcPr>
          <w:p w14:paraId="412BDFA0" w14:textId="23FEA3CC" w:rsidR="005103FC"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2B18D9" w:rsidRPr="0033148D" w14:paraId="3304BF4F" w14:textId="77777777" w:rsidTr="002B18D9">
        <w:trPr>
          <w:trHeight w:val="70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BE5F6D6" w14:textId="1802A603" w:rsidR="005103FC" w:rsidRPr="0033148D" w:rsidRDefault="005103FC" w:rsidP="004D6805">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tcPr>
          <w:p w14:paraId="203B59C5" w14:textId="0A89524B" w:rsidR="005103FC" w:rsidRPr="0033148D" w:rsidRDefault="00362D93" w:rsidP="0033148D">
            <w:pPr>
              <w:spacing w:after="0" w:line="240" w:lineRule="auto"/>
            </w:pPr>
            <w:r w:rsidRPr="0033148D">
              <w:t xml:space="preserve">Vlada Republike Hrvatske prihvatila je </w:t>
            </w:r>
            <w:r w:rsidR="005103FC" w:rsidRPr="0033148D">
              <w:t>Izvješće o provedbi Akcijskog plana za razdoblje od 2022. do 2024</w:t>
            </w:r>
            <w:r w:rsidR="00000258">
              <w:t>.</w:t>
            </w:r>
            <w:r w:rsidR="005103FC" w:rsidRPr="0033148D">
              <w:t xml:space="preserve"> za 2022. godinu. U 2022. godini ukupno su 42 planirane aktivnosti, od kojih su 29 provedene, 8 djelomično provedene, a 5 aktivnosti nisu provedene. U postotcima to iznosi 69% provedenih aktivnosti, 19% djelomično provedenih i 12% aktivnosti koje nisu provedene.</w:t>
            </w:r>
            <w:r w:rsidRPr="0033148D">
              <w:t xml:space="preserve"> Izvješće je objavljeno na službenoj mrežnoj stranici Ministarstva pravosuđa, uprave i digitalne transformacije </w:t>
            </w:r>
          </w:p>
          <w:p w14:paraId="1FEF8EDE" w14:textId="5D754D12" w:rsidR="005103FC" w:rsidRPr="0033148D" w:rsidRDefault="00362D93" w:rsidP="0033148D">
            <w:pPr>
              <w:spacing w:after="0" w:line="240" w:lineRule="auto"/>
            </w:pPr>
            <w:r w:rsidRPr="0033148D">
              <w:t>(</w:t>
            </w:r>
            <w:hyperlink r:id="rId34" w:history="1">
              <w:r w:rsidR="008A263A" w:rsidRPr="0033148D">
                <w:rPr>
                  <w:rStyle w:val="Hyperlink"/>
                </w:rPr>
                <w:t>https://mpudt.gov.hr/UserDocsImages/dokumenti/Antikorupcija/Izvjesce%20o%20provedbi%20Akcijskog%20plana%20za%202022..pdf</w:t>
              </w:r>
            </w:hyperlink>
            <w:r w:rsidRPr="0033148D">
              <w:t>).</w:t>
            </w:r>
          </w:p>
          <w:p w14:paraId="65AC5F75" w14:textId="22A76911" w:rsidR="005103FC" w:rsidRDefault="00F925F4" w:rsidP="00F925F4">
            <w:pPr>
              <w:spacing w:after="0" w:line="240" w:lineRule="auto"/>
            </w:pPr>
            <w:r>
              <w:t xml:space="preserve">Na 24. sjednici </w:t>
            </w:r>
            <w:r w:rsidR="00F83480">
              <w:t xml:space="preserve">održanoj </w:t>
            </w:r>
            <w:r>
              <w:t xml:space="preserve">13. rujna 2024. Vlada Republike Hrvatske prihvatila je Izvješće o provedbi </w:t>
            </w:r>
            <w:r w:rsidRPr="0033148D">
              <w:t>Akcijskog plana za razdoblje od 2022. do 2024</w:t>
            </w:r>
            <w:r>
              <w:t>.</w:t>
            </w:r>
            <w:r w:rsidRPr="0033148D">
              <w:t xml:space="preserve"> za 202</w:t>
            </w:r>
            <w:r>
              <w:t>3</w:t>
            </w:r>
            <w:r w:rsidRPr="0033148D">
              <w:t>. godinu</w:t>
            </w:r>
          </w:p>
          <w:p w14:paraId="4448AC3F" w14:textId="1BB30088" w:rsidR="00F925F4" w:rsidRPr="0033148D" w:rsidRDefault="00F925F4" w:rsidP="00F925F4">
            <w:pPr>
              <w:spacing w:after="0" w:line="240" w:lineRule="auto"/>
            </w:pPr>
            <w:r>
              <w:t>(</w:t>
            </w:r>
            <w:hyperlink r:id="rId35" w:history="1">
              <w:r w:rsidRPr="00A25ED8">
                <w:rPr>
                  <w:rStyle w:val="Hyperlink"/>
                </w:rPr>
                <w:t>https://mpudt.gov.hr/UserDocsImages/dokumenti/Antikorupcija/Izvjesce%20o%20provedbi%20Akcijskog%20plana%20za%20razdoblje%20od%202022%20do%202024%20godine%20uz%20Strategiju%20sprjecavanja%20korupcije%20za%20razdoblje%20od%202021%20do%202030%20godine%20za%202023.pdf</w:t>
              </w:r>
            </w:hyperlink>
            <w:r>
              <w:t>).</w:t>
            </w:r>
          </w:p>
        </w:tc>
      </w:tr>
      <w:tr w:rsidR="002B18D9" w:rsidRPr="0033148D" w14:paraId="4D516929" w14:textId="77777777" w:rsidTr="004D6805">
        <w:trPr>
          <w:trHeight w:val="431"/>
        </w:trPr>
        <w:tc>
          <w:tcPr>
            <w:tcW w:w="4110"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82C0C0B" w14:textId="7EB8CACB" w:rsidR="005103FC" w:rsidRPr="0033148D" w:rsidRDefault="005103FC" w:rsidP="004D6805">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CD6F3BD" w14:textId="77777777" w:rsidR="005103FC" w:rsidRPr="0033148D" w:rsidRDefault="0056156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2B18D9" w:rsidRPr="0033148D" w14:paraId="665D411E" w14:textId="77777777" w:rsidTr="004D6805">
        <w:trPr>
          <w:trHeight w:val="728"/>
        </w:trPr>
        <w:tc>
          <w:tcPr>
            <w:tcW w:w="4110"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73C1905" w14:textId="64C45779" w:rsidR="005103FC" w:rsidRPr="0033148D" w:rsidRDefault="005103FC" w:rsidP="004D6805">
            <w:pPr>
              <w:spacing w:after="0" w:line="240" w:lineRule="auto"/>
              <w:rPr>
                <w:rFonts w:ascii="Calibri" w:eastAsia="Times New Roman" w:hAnsi="Calibri" w:cs="Times New Roman"/>
                <w:color w:val="000000"/>
                <w:lang w:eastAsia="hr-HR"/>
              </w:rPr>
            </w:pPr>
            <w:r w:rsidRPr="0033148D">
              <w:rPr>
                <w:b/>
                <w:bCs/>
                <w:lang w:eastAsia="hr-HR"/>
              </w:rPr>
              <w:t>Sljedeći koraci</w:t>
            </w:r>
            <w:r w:rsidR="004D6805">
              <w:rPr>
                <w:i/>
                <w:iCs/>
                <w:lang w:eastAsia="hr-HR"/>
              </w:rPr>
              <w:t>:</w:t>
            </w:r>
          </w:p>
        </w:tc>
        <w:tc>
          <w:tcPr>
            <w:tcW w:w="1034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798A776"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Na temelju provedbe Akcijskog plana izrađuju se službena izvješća o provedbi od strane Ministarstva pravosuđa i uprave, s ciljem izvještavanja Vlade Republike Hrvatske. Izvješća su potvrđena od strane Savjeta za sprječavanje korupcije, a nakon prihvaćanja od strane Vlade Republike Hrvatske, objavljena na službenim mrežnim stranicama Ministarstva pravosuđa i uprave.</w:t>
            </w:r>
          </w:p>
        </w:tc>
      </w:tr>
    </w:tbl>
    <w:p w14:paraId="22980147" w14:textId="77777777" w:rsidR="005103FC" w:rsidRPr="0033148D" w:rsidRDefault="005103FC" w:rsidP="0033148D">
      <w:pPr>
        <w:spacing w:line="240" w:lineRule="auto"/>
      </w:pPr>
    </w:p>
    <w:tbl>
      <w:tblPr>
        <w:tblW w:w="14596" w:type="dxa"/>
        <w:jc w:val="center"/>
        <w:tblLook w:val="04A0" w:firstRow="1" w:lastRow="0" w:firstColumn="1" w:lastColumn="0" w:noHBand="0" w:noVBand="1"/>
      </w:tblPr>
      <w:tblGrid>
        <w:gridCol w:w="1980"/>
        <w:gridCol w:w="2126"/>
        <w:gridCol w:w="2693"/>
        <w:gridCol w:w="2410"/>
        <w:gridCol w:w="2552"/>
        <w:gridCol w:w="2835"/>
      </w:tblGrid>
      <w:tr w:rsidR="005103FC" w:rsidRPr="0033148D" w14:paraId="4D2487D3" w14:textId="77777777" w:rsidTr="004D6805">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CFEF85" w14:textId="4AED5C56" w:rsidR="005103FC" w:rsidRPr="0033148D" w:rsidRDefault="007B60AF" w:rsidP="0033148D">
            <w:pPr>
              <w:spacing w:after="0" w:line="240" w:lineRule="auto"/>
              <w:jc w:val="center"/>
              <w:rPr>
                <w:rFonts w:ascii="Calibri" w:eastAsia="Times New Roman" w:hAnsi="Calibri" w:cs="Times New Roman"/>
                <w:color w:val="000000"/>
                <w:lang w:eastAsia="hr-HR"/>
              </w:rPr>
            </w:pPr>
            <w:r w:rsidRPr="0033148D">
              <w:rPr>
                <w:b/>
              </w:rPr>
              <w:t xml:space="preserve">Aktivnost </w:t>
            </w:r>
            <w:r w:rsidR="005103FC" w:rsidRPr="0033148D">
              <w:rPr>
                <w:rFonts w:ascii="Calibri" w:eastAsia="Times New Roman" w:hAnsi="Calibri" w:cs="Times New Roman"/>
                <w:b/>
                <w:bCs/>
                <w:color w:val="000000"/>
                <w:lang w:eastAsia="hr-HR"/>
              </w:rPr>
              <w:t>12.2. Izraditi Zakon o lobiranju</w:t>
            </w:r>
          </w:p>
        </w:tc>
      </w:tr>
      <w:tr w:rsidR="005103FC" w:rsidRPr="0033148D" w14:paraId="50518B2C"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02AAF11" w14:textId="460BF5B3"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Nositelj aktivn</w:t>
            </w:r>
            <w:r w:rsidR="00412D4C" w:rsidRPr="0033148D">
              <w:rPr>
                <w:rFonts w:ascii="Calibri" w:eastAsia="Times New Roman" w:hAnsi="Calibri" w:cs="Times New Roman"/>
                <w:b/>
                <w:bCs/>
                <w:color w:val="000000"/>
                <w:lang w:eastAsia="hr-HR"/>
              </w:rPr>
              <w:t xml:space="preserve">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8B0527"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pravosuđa i uprave</w:t>
            </w:r>
          </w:p>
        </w:tc>
      </w:tr>
      <w:tr w:rsidR="005103FC" w:rsidRPr="0033148D" w14:paraId="75EE32A8"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04280BE" w14:textId="6782C517" w:rsidR="005103FC" w:rsidRPr="0033148D" w:rsidRDefault="00412D4C"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251C48D" w14:textId="5367B5D8"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416D6041" w14:textId="77777777" w:rsidTr="00FD1185">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E1A4447"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0BA2B56"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11D7063" w14:textId="27C6A1F2" w:rsidR="005103FC"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64B07417" w14:textId="77777777" w:rsidTr="00FD1185">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C1272BC"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0AC856F7"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2BCEBD7"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Predstavnici državnih tijela, jedinica lokalne i područne (regionalne) samouprave, udruge civilnog društva</w:t>
            </w:r>
          </w:p>
        </w:tc>
      </w:tr>
      <w:tr w:rsidR="005103FC" w:rsidRPr="0033148D" w14:paraId="2F7537C4" w14:textId="77777777" w:rsidTr="00FD1185">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628027"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p w14:paraId="3DDB444A"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Cs/>
                <w:i/>
                <w:color w:val="000000"/>
                <w:lang w:eastAsia="hr-HR"/>
              </w:rPr>
              <w:t>(ako je bilo odstupanja, molimo pojasniti)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FD7A8D8" w14:textId="401E83B6" w:rsidR="005103FC" w:rsidRPr="0033148D" w:rsidRDefault="005103FC" w:rsidP="0033148D">
            <w:pPr>
              <w:spacing w:after="0" w:line="240" w:lineRule="auto"/>
              <w:rPr>
                <w:rFonts w:ascii="Calibri" w:eastAsia="Times New Roman" w:hAnsi="Calibri" w:cs="Times New Roman"/>
                <w:color w:val="000000"/>
                <w:lang w:eastAsia="hr-HR"/>
              </w:rPr>
            </w:pPr>
          </w:p>
        </w:tc>
      </w:tr>
      <w:tr w:rsidR="005103FC" w:rsidRPr="0033148D" w14:paraId="6F4AB6CE" w14:textId="77777777" w:rsidTr="00FD1185">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EE9371D"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p w14:paraId="13F4365E"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Cs/>
                <w:i/>
                <w:color w:val="000000"/>
                <w:lang w:eastAsia="hr-HR"/>
              </w:rPr>
              <w:t>(ako je bilo odstupanja, molimo pojasniti)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AD67E08" w14:textId="6DAFA7E5"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travanj 2023.</w:t>
            </w:r>
          </w:p>
          <w:p w14:paraId="31ADB021" w14:textId="07EE98AB" w:rsidR="005103FC" w:rsidRPr="0033148D" w:rsidRDefault="005103FC" w:rsidP="0088378E">
            <w:pPr>
              <w:spacing w:after="0" w:line="240" w:lineRule="auto"/>
              <w:rPr>
                <w:rFonts w:eastAsia="Times New Roman" w:cstheme="minorHAnsi"/>
                <w:color w:val="000000"/>
                <w:lang w:eastAsia="hr-HR"/>
              </w:rPr>
            </w:pPr>
            <w:r w:rsidRPr="0033148D">
              <w:rPr>
                <w:rFonts w:eastAsia="Calibri" w:cstheme="minorHAnsi"/>
              </w:rPr>
              <w:t>Postupak javnog savjetovanja o Nacrtu prijedloga Zakona o lobiranju završen je 16. srpnja 2023. godine, a na sjednici 2. studenog 2023. godine Vlada Republike Hrvatske prihvatila je Nacrt prijedloga te ga je uputila u postupak prvog čitanja u Hrvatskom saboru.</w:t>
            </w:r>
            <w:r w:rsidR="005675D6" w:rsidRPr="0033148D">
              <w:rPr>
                <w:rFonts w:eastAsia="Calibri" w:cstheme="minorHAnsi"/>
              </w:rPr>
              <w:t xml:space="preserve"> Zakon je donesen u ožujku 2024.</w:t>
            </w:r>
            <w:r w:rsidR="0088378E">
              <w:rPr>
                <w:rFonts w:eastAsia="Calibri" w:cstheme="minorHAnsi"/>
              </w:rPr>
              <w:t>,</w:t>
            </w:r>
            <w:r w:rsidR="005675D6" w:rsidRPr="0033148D">
              <w:rPr>
                <w:rFonts w:eastAsia="Calibri" w:cstheme="minorHAnsi"/>
              </w:rPr>
              <w:t xml:space="preserve"> </w:t>
            </w:r>
            <w:r w:rsidR="0088378E">
              <w:rPr>
                <w:rFonts w:eastAsia="Calibri" w:cstheme="minorHAnsi"/>
              </w:rPr>
              <w:t>a</w:t>
            </w:r>
            <w:r w:rsidR="005675D6" w:rsidRPr="0033148D">
              <w:rPr>
                <w:rFonts w:eastAsia="Calibri" w:cstheme="minorHAnsi"/>
              </w:rPr>
              <w:t xml:space="preserve"> stupi</w:t>
            </w:r>
            <w:r w:rsidR="0088378E">
              <w:rPr>
                <w:rFonts w:eastAsia="Calibri" w:cstheme="minorHAnsi"/>
              </w:rPr>
              <w:t>o</w:t>
            </w:r>
            <w:r w:rsidR="005675D6" w:rsidRPr="0033148D">
              <w:rPr>
                <w:rFonts w:eastAsia="Calibri" w:cstheme="minorHAnsi"/>
              </w:rPr>
              <w:t xml:space="preserve"> </w:t>
            </w:r>
            <w:r w:rsidR="0088378E">
              <w:rPr>
                <w:rFonts w:eastAsia="Calibri" w:cstheme="minorHAnsi"/>
              </w:rPr>
              <w:t>j</w:t>
            </w:r>
            <w:r w:rsidR="005675D6" w:rsidRPr="0033148D">
              <w:rPr>
                <w:rFonts w:eastAsia="Calibri" w:cstheme="minorHAnsi"/>
              </w:rPr>
              <w:t>e na snagu 1. listopada 2024. godine.</w:t>
            </w:r>
          </w:p>
        </w:tc>
      </w:tr>
      <w:tr w:rsidR="005103FC" w:rsidRPr="0033148D" w14:paraId="561C55BE" w14:textId="77777777" w:rsidTr="004D6805">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8266907" w14:textId="5D149337" w:rsidR="005103FC"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497FEF3"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Izrađen nacrt Zakona o lobiranju</w:t>
            </w:r>
          </w:p>
        </w:tc>
      </w:tr>
      <w:tr w:rsidR="005103FC" w:rsidRPr="0033148D" w14:paraId="221C7A7E" w14:textId="77777777" w:rsidTr="00FD1185">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8122CF9" w14:textId="77777777" w:rsidR="005103FC" w:rsidRPr="0033148D" w:rsidRDefault="005103F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Stupanj provedenosti: </w:t>
            </w:r>
          </w:p>
          <w:p w14:paraId="0C5402DC" w14:textId="77777777" w:rsidR="005103FC" w:rsidRPr="0033148D" w:rsidRDefault="005103FC"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Cs/>
                <w:i/>
                <w:color w:val="000000"/>
                <w:lang w:eastAsia="hr-HR"/>
              </w:rPr>
              <w:t>(označite sa x)</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DFE6075"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2C71442"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A612B2D"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CC23949" w14:textId="77777777" w:rsidR="005103FC" w:rsidRPr="0033148D" w:rsidRDefault="005103FC"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5103FC" w:rsidRPr="0033148D" w14:paraId="50E3D83B" w14:textId="77777777" w:rsidTr="001340F3">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3993E680" w14:textId="77777777" w:rsidR="005103FC" w:rsidRPr="0033148D" w:rsidRDefault="005103FC"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9FE9536"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36AF3B38" w14:textId="77777777"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7B7F9DE5" w14:textId="0CAF7336" w:rsidR="005103FC" w:rsidRPr="0033148D" w:rsidRDefault="005103FC"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69D95020" w14:textId="77777777" w:rsidR="005103FC" w:rsidRPr="0033148D" w:rsidRDefault="005675D6"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5103FC" w:rsidRPr="0033148D" w14:paraId="6FCB1D01" w14:textId="77777777" w:rsidTr="00552227">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FEB2BE5" w14:textId="73E390EA" w:rsidR="005103FC" w:rsidRPr="0033148D" w:rsidRDefault="005103FC" w:rsidP="00552227">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0BFFCF94" w14:textId="53F36C02" w:rsidR="005103FC"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5103FC" w:rsidRPr="0033148D" w14:paraId="45F29868" w14:textId="77777777" w:rsidTr="0055222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24B110" w14:textId="0AE83612" w:rsidR="005103FC" w:rsidRPr="0033148D" w:rsidRDefault="005103FC" w:rsidP="00552227">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0A99CD6" w14:textId="77777777" w:rsidR="005103FC" w:rsidRPr="0033148D" w:rsidRDefault="005103F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4A6D0BBE" w14:textId="77777777" w:rsidTr="00552227">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6CD9F62" w14:textId="0594C120" w:rsidR="005103FC" w:rsidRPr="0033148D" w:rsidRDefault="005103FC" w:rsidP="00552227">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9681EA9" w14:textId="77777777" w:rsidR="005103FC" w:rsidRPr="0033148D" w:rsidRDefault="008A0A3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5103FC" w:rsidRPr="0033148D" w14:paraId="61FA277E" w14:textId="77777777" w:rsidTr="00552227">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54684366" w14:textId="1BCFD079" w:rsidR="005103FC" w:rsidRPr="0033148D" w:rsidRDefault="005103FC" w:rsidP="00552227">
            <w:pPr>
              <w:spacing w:line="240" w:lineRule="auto"/>
              <w:rPr>
                <w:rFonts w:ascii="Calibri" w:eastAsia="Times New Roman" w:hAnsi="Calibri" w:cs="Times New Roman"/>
                <w:color w:val="000000"/>
                <w:lang w:eastAsia="hr-HR"/>
              </w:rPr>
            </w:pPr>
            <w:r w:rsidRPr="0033148D">
              <w:rPr>
                <w:b/>
                <w:bCs/>
                <w:lang w:eastAsia="hr-HR"/>
              </w:rPr>
              <w:lastRenderedPageBreak/>
              <w:t>Sljedeći koraci</w:t>
            </w:r>
            <w:r w:rsidR="00552227">
              <w:rPr>
                <w:i/>
                <w:i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EEE95EB" w14:textId="657CF254" w:rsidR="005103FC" w:rsidRPr="0033148D" w:rsidRDefault="00E94579" w:rsidP="00C615B2">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Zakon o lobiranju usvojen je i stupi</w:t>
            </w:r>
            <w:r w:rsidR="00C615B2">
              <w:rPr>
                <w:rFonts w:ascii="Calibri" w:eastAsia="Times New Roman" w:hAnsi="Calibri" w:cs="Times New Roman"/>
                <w:color w:val="000000"/>
                <w:lang w:eastAsia="hr-HR"/>
              </w:rPr>
              <w:t>o</w:t>
            </w:r>
            <w:r w:rsidRPr="0033148D">
              <w:rPr>
                <w:rFonts w:ascii="Calibri" w:eastAsia="Times New Roman" w:hAnsi="Calibri" w:cs="Times New Roman"/>
                <w:color w:val="000000"/>
                <w:lang w:eastAsia="hr-HR"/>
              </w:rPr>
              <w:t xml:space="preserve"> </w:t>
            </w:r>
            <w:r w:rsidR="00C615B2">
              <w:rPr>
                <w:rFonts w:ascii="Calibri" w:eastAsia="Times New Roman" w:hAnsi="Calibri" w:cs="Times New Roman"/>
                <w:color w:val="000000"/>
                <w:lang w:eastAsia="hr-HR"/>
              </w:rPr>
              <w:t>j</w:t>
            </w:r>
            <w:r w:rsidRPr="0033148D">
              <w:rPr>
                <w:rFonts w:ascii="Calibri" w:eastAsia="Times New Roman" w:hAnsi="Calibri" w:cs="Times New Roman"/>
                <w:color w:val="000000"/>
                <w:lang w:eastAsia="hr-HR"/>
              </w:rPr>
              <w:t xml:space="preserve">e na snagu 1. listopada 2024. godine. U narednom razdoblju predstoji izrada </w:t>
            </w:r>
            <w:proofErr w:type="spellStart"/>
            <w:r w:rsidRPr="0033148D">
              <w:rPr>
                <w:rFonts w:ascii="Calibri" w:eastAsia="Times New Roman" w:hAnsi="Calibri" w:cs="Times New Roman"/>
                <w:color w:val="000000"/>
                <w:lang w:eastAsia="hr-HR"/>
              </w:rPr>
              <w:t>podzakonskih</w:t>
            </w:r>
            <w:proofErr w:type="spellEnd"/>
            <w:r w:rsidRPr="0033148D">
              <w:rPr>
                <w:rFonts w:ascii="Calibri" w:eastAsia="Times New Roman" w:hAnsi="Calibri" w:cs="Times New Roman"/>
                <w:color w:val="000000"/>
                <w:lang w:eastAsia="hr-HR"/>
              </w:rPr>
              <w:t xml:space="preserve"> propisa te praćenje provedbe, odnosno učinka Zakona. </w:t>
            </w:r>
          </w:p>
        </w:tc>
      </w:tr>
    </w:tbl>
    <w:p w14:paraId="54CA05C8" w14:textId="77777777" w:rsidR="005103FC" w:rsidRPr="0033148D" w:rsidRDefault="005103FC" w:rsidP="0033148D">
      <w:pPr>
        <w:spacing w:line="240" w:lineRule="auto"/>
      </w:pPr>
    </w:p>
    <w:p w14:paraId="654CB0E8" w14:textId="77777777" w:rsidR="002E597E" w:rsidRPr="0091246B" w:rsidRDefault="002E597E" w:rsidP="00267611">
      <w:pPr>
        <w:pStyle w:val="Heading2"/>
        <w:rPr>
          <w:b/>
        </w:rPr>
      </w:pPr>
      <w:bookmarkStart w:id="30" w:name="_Toc183591330"/>
      <w:r w:rsidRPr="0091246B">
        <w:rPr>
          <w:b/>
        </w:rPr>
        <w:t>C – OTVORENOST</w:t>
      </w:r>
      <w:bookmarkEnd w:id="30"/>
    </w:p>
    <w:p w14:paraId="4A2B99A9" w14:textId="77777777" w:rsidR="002E597E" w:rsidRPr="007A4029" w:rsidRDefault="002E597E" w:rsidP="00267611">
      <w:pPr>
        <w:pStyle w:val="Heading3"/>
      </w:pPr>
      <w:bookmarkStart w:id="31" w:name="_Toc183591331"/>
      <w:r w:rsidRPr="007A4029">
        <w:t>MJERA 13 - KONTINUIRANO OTVARANJE PODATAKA</w:t>
      </w:r>
      <w:bookmarkEnd w:id="31"/>
    </w:p>
    <w:tbl>
      <w:tblPr>
        <w:tblW w:w="14709" w:type="dxa"/>
        <w:jc w:val="center"/>
        <w:tblLook w:val="04A0" w:firstRow="1" w:lastRow="0" w:firstColumn="1" w:lastColumn="0" w:noHBand="0" w:noVBand="1"/>
      </w:tblPr>
      <w:tblGrid>
        <w:gridCol w:w="2093"/>
        <w:gridCol w:w="2126"/>
        <w:gridCol w:w="2580"/>
        <w:gridCol w:w="2694"/>
        <w:gridCol w:w="2693"/>
        <w:gridCol w:w="2523"/>
      </w:tblGrid>
      <w:tr w:rsidR="00EB1790" w:rsidRPr="0033148D" w14:paraId="09A38B4D" w14:textId="77777777" w:rsidTr="00F355E7">
        <w:trPr>
          <w:trHeight w:val="70"/>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335DD4" w14:textId="0A4E85B7"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13.1. Pružati operativne i tehničke podrške tijelima javnog sektora pri objavi otvorenih podataka na Portalu</w:t>
            </w:r>
            <w:r w:rsidRPr="0033148D">
              <w:rPr>
                <w:rFonts w:ascii="Calibri" w:eastAsia="Times New Roman" w:hAnsi="Calibri" w:cs="Times New Roman"/>
                <w:b/>
                <w:bCs/>
                <w:color w:val="000000"/>
                <w:lang w:eastAsia="hr-HR"/>
              </w:rPr>
              <w:t xml:space="preserve"> </w:t>
            </w:r>
            <w:r w:rsidR="00EB1790" w:rsidRPr="0033148D">
              <w:rPr>
                <w:rFonts w:ascii="Calibri" w:eastAsia="Times New Roman" w:hAnsi="Calibri" w:cs="Times New Roman"/>
                <w:b/>
                <w:bCs/>
                <w:color w:val="000000"/>
                <w:lang w:eastAsia="hr-HR"/>
              </w:rPr>
              <w:t>otvorenih podataka</w:t>
            </w:r>
          </w:p>
        </w:tc>
      </w:tr>
      <w:tr w:rsidR="00EB1790" w:rsidRPr="0033148D" w14:paraId="40B38D7F"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028ACA" w14:textId="32E00DC1" w:rsidR="00EB1790"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D932306"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17C60FF0"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F7DDD6A" w14:textId="1C87C6FB" w:rsidR="00EB1790" w:rsidRPr="0033148D" w:rsidRDefault="00412D4C"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AA42FAE" w14:textId="2827369B"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051EE89" w14:textId="77777777" w:rsidTr="00FD1185">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5E28FB"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B56E0E7"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EFECED7" w14:textId="16171C5B"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129BE586" w14:textId="77777777" w:rsidTr="00FD1185">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1238F535"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2E23BA69"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BB324EA" w14:textId="0C79526A"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47C6923"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5650B35" w14:textId="5D7F9783"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06BD94E"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t>Kontinuirano, na zahtjev tijela</w:t>
            </w:r>
          </w:p>
        </w:tc>
      </w:tr>
      <w:tr w:rsidR="00EB1790" w:rsidRPr="0033148D" w14:paraId="581F6B67"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BE783BD" w14:textId="1118DA7E"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BB5CA52"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t>Kontinuirano, na zahtjev tijela</w:t>
            </w:r>
          </w:p>
        </w:tc>
      </w:tr>
      <w:tr w:rsidR="00EB1790" w:rsidRPr="0033148D" w14:paraId="514B6DCD"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C8DF8C6" w14:textId="7BC1B0AB" w:rsidR="00EB1790" w:rsidRPr="0033148D" w:rsidRDefault="00412D4C"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D8DBAFE" w14:textId="54559AAC" w:rsidR="00EB1790" w:rsidRPr="0033148D" w:rsidRDefault="00AF51CB" w:rsidP="0033148D">
            <w:pPr>
              <w:spacing w:line="240" w:lineRule="auto"/>
              <w:rPr>
                <w:rFonts w:ascii="Calibri" w:eastAsia="Times New Roman" w:hAnsi="Calibri" w:cs="Times New Roman"/>
                <w:color w:val="000000"/>
                <w:lang w:eastAsia="hr-HR"/>
              </w:rPr>
            </w:pPr>
            <w:r w:rsidRPr="0033148D">
              <w:t xml:space="preserve">Postotak odgovorenih zahtjeva za operativnom i tehničkom podrškom od strane tijela javne vlasti upućenih pomoću Portala otvorenih podataka </w:t>
            </w:r>
          </w:p>
        </w:tc>
      </w:tr>
      <w:tr w:rsidR="00EB1790" w:rsidRPr="0033148D" w14:paraId="033C4A7A" w14:textId="77777777" w:rsidTr="007A4029">
        <w:trPr>
          <w:trHeight w:val="718"/>
          <w:jc w:val="center"/>
        </w:trPr>
        <w:tc>
          <w:tcPr>
            <w:tcW w:w="421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8D46787" w14:textId="1219FFCE"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5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7947971"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694" w:type="dxa"/>
            <w:tcBorders>
              <w:top w:val="single" w:sz="4" w:space="0" w:color="auto"/>
              <w:left w:val="nil"/>
              <w:bottom w:val="single" w:sz="4" w:space="0" w:color="auto"/>
              <w:right w:val="single" w:sz="4" w:space="0" w:color="auto"/>
            </w:tcBorders>
            <w:shd w:val="clear" w:color="000000" w:fill="F2F2F2"/>
            <w:vAlign w:val="center"/>
            <w:hideMark/>
          </w:tcPr>
          <w:p w14:paraId="36039DE5"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43CD3CB9"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523" w:type="dxa"/>
            <w:tcBorders>
              <w:top w:val="single" w:sz="4" w:space="0" w:color="auto"/>
              <w:left w:val="nil"/>
              <w:bottom w:val="single" w:sz="4" w:space="0" w:color="auto"/>
              <w:right w:val="single" w:sz="4" w:space="0" w:color="auto"/>
            </w:tcBorders>
            <w:shd w:val="clear" w:color="000000" w:fill="F2F2F2"/>
            <w:vAlign w:val="center"/>
            <w:hideMark/>
          </w:tcPr>
          <w:p w14:paraId="339F599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43638C41" w14:textId="77777777" w:rsidTr="007A4029">
        <w:trPr>
          <w:trHeight w:val="642"/>
          <w:jc w:val="center"/>
        </w:trPr>
        <w:tc>
          <w:tcPr>
            <w:tcW w:w="4219" w:type="dxa"/>
            <w:gridSpan w:val="2"/>
            <w:vMerge/>
            <w:tcBorders>
              <w:top w:val="single" w:sz="4" w:space="0" w:color="auto"/>
              <w:left w:val="single" w:sz="4" w:space="0" w:color="auto"/>
              <w:bottom w:val="single" w:sz="4" w:space="0" w:color="000000"/>
              <w:right w:val="single" w:sz="4" w:space="0" w:color="000000"/>
            </w:tcBorders>
            <w:vAlign w:val="center"/>
            <w:hideMark/>
          </w:tcPr>
          <w:p w14:paraId="3B01D747"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580" w:type="dxa"/>
            <w:tcBorders>
              <w:top w:val="nil"/>
              <w:left w:val="nil"/>
              <w:bottom w:val="single" w:sz="4" w:space="0" w:color="auto"/>
              <w:right w:val="single" w:sz="4" w:space="0" w:color="auto"/>
            </w:tcBorders>
            <w:shd w:val="clear" w:color="auto" w:fill="auto"/>
            <w:noWrap/>
            <w:vAlign w:val="center"/>
            <w:hideMark/>
          </w:tcPr>
          <w:p w14:paraId="50AC9809"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694" w:type="dxa"/>
            <w:tcBorders>
              <w:top w:val="nil"/>
              <w:left w:val="nil"/>
              <w:bottom w:val="single" w:sz="4" w:space="0" w:color="auto"/>
              <w:right w:val="single" w:sz="4" w:space="0" w:color="auto"/>
            </w:tcBorders>
            <w:shd w:val="clear" w:color="auto" w:fill="auto"/>
            <w:noWrap/>
            <w:vAlign w:val="center"/>
            <w:hideMark/>
          </w:tcPr>
          <w:p w14:paraId="08516891"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625273E"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23" w:type="dxa"/>
            <w:tcBorders>
              <w:top w:val="nil"/>
              <w:left w:val="nil"/>
              <w:bottom w:val="single" w:sz="4" w:space="0" w:color="auto"/>
              <w:right w:val="single" w:sz="4" w:space="0" w:color="auto"/>
            </w:tcBorders>
            <w:shd w:val="clear" w:color="auto" w:fill="A8D08D" w:themeFill="accent6" w:themeFillTint="99"/>
            <w:noWrap/>
            <w:vAlign w:val="center"/>
            <w:hideMark/>
          </w:tcPr>
          <w:p w14:paraId="4A5F4193"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3F97B8BB" w14:textId="77777777" w:rsidTr="00FD1185">
        <w:trPr>
          <w:trHeight w:val="642"/>
          <w:jc w:val="center"/>
        </w:trPr>
        <w:tc>
          <w:tcPr>
            <w:tcW w:w="421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5D086A03" w14:textId="32897E15" w:rsidR="00EB1790" w:rsidRPr="0033148D" w:rsidRDefault="00EB1790" w:rsidP="004E224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26D7CB1C" w14:textId="11FA209D" w:rsidR="00EB1790" w:rsidRPr="0033148D" w:rsidRDefault="00412D4C"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EB1790" w:rsidRPr="0033148D" w14:paraId="7681FB1C" w14:textId="77777777" w:rsidTr="007A4029">
        <w:trPr>
          <w:trHeight w:val="163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A96A351" w14:textId="7FBEEF90" w:rsidR="00EB1790" w:rsidRPr="0033148D" w:rsidRDefault="00EB1790" w:rsidP="004E224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0043BE8" w14:textId="77777777"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Svi zahtjevi za operativnom i tehničkom podrškom od strane tijela javne vlasti upućenih pomoću Portala otvorenih podataka rješavaju se isti dan, osim u iznimnim slučajevima kad je potrebna intervencija vanjskog suradnika koji održava portal. Na dnevnoj bazi se odrađuje komunikacija s tijelima izdavačima.</w:t>
            </w:r>
          </w:p>
          <w:p w14:paraId="7D7B192E" w14:textId="1CC29DE8" w:rsidR="00EB1790" w:rsidRPr="0033148D" w:rsidRDefault="00B27493" w:rsidP="004E224E">
            <w:pPr>
              <w:spacing w:line="240" w:lineRule="auto"/>
              <w:rPr>
                <w:rFonts w:eastAsia="Times New Roman" w:cstheme="minorHAnsi"/>
                <w:color w:val="000000"/>
              </w:rPr>
            </w:pPr>
            <w:r w:rsidRPr="0033148D">
              <w:rPr>
                <w:rFonts w:eastAsia="Times New Roman" w:cstheme="minorHAnsi"/>
                <w:color w:val="000000"/>
              </w:rPr>
              <w:t xml:space="preserve">U trenutku </w:t>
            </w:r>
            <w:r w:rsidR="004E224E">
              <w:rPr>
                <w:rFonts w:eastAsia="Times New Roman" w:cstheme="minorHAnsi"/>
                <w:color w:val="000000"/>
              </w:rPr>
              <w:t>zaključenja</w:t>
            </w:r>
            <w:r w:rsidR="004E224E" w:rsidRPr="0033148D">
              <w:rPr>
                <w:rFonts w:eastAsia="Times New Roman" w:cstheme="minorHAnsi"/>
                <w:color w:val="000000"/>
              </w:rPr>
              <w:t xml:space="preserve"> </w:t>
            </w:r>
            <w:r w:rsidRPr="0033148D">
              <w:rPr>
                <w:rFonts w:eastAsia="Times New Roman" w:cstheme="minorHAnsi"/>
                <w:color w:val="000000"/>
              </w:rPr>
              <w:t xml:space="preserve">izvješća </w:t>
            </w:r>
            <w:r w:rsidR="00EB1790" w:rsidRPr="0033148D">
              <w:rPr>
                <w:rFonts w:eastAsia="Times New Roman" w:cstheme="minorHAnsi"/>
                <w:color w:val="000000"/>
              </w:rPr>
              <w:t xml:space="preserve">na portalu </w:t>
            </w:r>
            <w:r w:rsidRPr="0033148D">
              <w:rPr>
                <w:rFonts w:eastAsia="Times New Roman" w:cstheme="minorHAnsi"/>
                <w:color w:val="000000"/>
              </w:rPr>
              <w:t xml:space="preserve">je bilo </w:t>
            </w:r>
            <w:r w:rsidR="00EB1790" w:rsidRPr="0033148D">
              <w:rPr>
                <w:rFonts w:eastAsia="Times New Roman" w:cstheme="minorHAnsi"/>
                <w:color w:val="000000"/>
              </w:rPr>
              <w:t>objavljeno 2</w:t>
            </w:r>
            <w:r w:rsidR="006F211E" w:rsidRPr="0033148D">
              <w:rPr>
                <w:rFonts w:eastAsia="Times New Roman" w:cstheme="minorHAnsi"/>
                <w:color w:val="000000"/>
              </w:rPr>
              <w:t>.</w:t>
            </w:r>
            <w:r w:rsidR="004E224E">
              <w:rPr>
                <w:rFonts w:eastAsia="Times New Roman" w:cstheme="minorHAnsi"/>
                <w:color w:val="000000"/>
              </w:rPr>
              <w:t>768</w:t>
            </w:r>
            <w:r w:rsidR="00EB1790" w:rsidRPr="0033148D">
              <w:rPr>
                <w:rFonts w:eastAsia="Times New Roman" w:cstheme="minorHAnsi"/>
                <w:color w:val="000000"/>
              </w:rPr>
              <w:t xml:space="preserve"> skupova podataka od strane 484 tijela.</w:t>
            </w:r>
          </w:p>
        </w:tc>
      </w:tr>
      <w:tr w:rsidR="00EB1790" w:rsidRPr="0033148D" w14:paraId="4CDBEA9A" w14:textId="77777777" w:rsidTr="00FD1185">
        <w:trPr>
          <w:trHeight w:val="101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8E23A40" w14:textId="19D68801" w:rsidR="00EB1790" w:rsidRPr="0033148D" w:rsidRDefault="00EB1790" w:rsidP="004E224E">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9E18C9B" w14:textId="3B181F3F" w:rsidR="00EB1790" w:rsidRPr="0033148D" w:rsidRDefault="001340F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6D596D56" w14:textId="77777777" w:rsidTr="007A4029">
        <w:trPr>
          <w:trHeight w:val="1201"/>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2BC3FD0C" w14:textId="23DD9EFA" w:rsidR="00EB1790" w:rsidRPr="0033148D" w:rsidRDefault="00EB1790" w:rsidP="004E224E">
            <w:pPr>
              <w:spacing w:after="0" w:line="240" w:lineRule="auto"/>
              <w:rPr>
                <w:rFonts w:ascii="Calibri" w:eastAsia="Times New Roman" w:hAnsi="Calibri" w:cs="Times New Roman"/>
                <w:color w:val="000000"/>
                <w:lang w:eastAsia="hr-HR"/>
              </w:rPr>
            </w:pPr>
            <w:r w:rsidRPr="0033148D">
              <w:rPr>
                <w:b/>
                <w:bCs/>
                <w:lang w:eastAsia="hr-HR"/>
              </w:rPr>
              <w:t>Sljedeći koraci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8CF8CCE" w14:textId="369E0FB3" w:rsidR="00EB1790" w:rsidRPr="0033148D" w:rsidRDefault="001340F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1AC4666B" w14:textId="77777777" w:rsidR="005103FC" w:rsidRPr="0033148D" w:rsidRDefault="005103FC" w:rsidP="0033148D">
      <w:pPr>
        <w:spacing w:line="240" w:lineRule="auto"/>
      </w:pPr>
    </w:p>
    <w:tbl>
      <w:tblPr>
        <w:tblW w:w="14709" w:type="dxa"/>
        <w:jc w:val="center"/>
        <w:tblLook w:val="04A0" w:firstRow="1" w:lastRow="0" w:firstColumn="1" w:lastColumn="0" w:noHBand="0" w:noVBand="1"/>
      </w:tblPr>
      <w:tblGrid>
        <w:gridCol w:w="2093"/>
        <w:gridCol w:w="2126"/>
        <w:gridCol w:w="2693"/>
        <w:gridCol w:w="2410"/>
        <w:gridCol w:w="2552"/>
        <w:gridCol w:w="2835"/>
      </w:tblGrid>
      <w:tr w:rsidR="00EB1790" w:rsidRPr="0033148D" w14:paraId="66A4BF7C" w14:textId="77777777" w:rsidTr="004E224E">
        <w:trPr>
          <w:trHeight w:val="431"/>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5081A" w14:textId="455B27A3" w:rsidR="00EB1790"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EB1790" w:rsidRPr="0033148D">
              <w:rPr>
                <w:rFonts w:ascii="Calibri" w:eastAsia="Times New Roman" w:hAnsi="Calibri" w:cs="Times New Roman"/>
                <w:b/>
                <w:bCs/>
                <w:color w:val="000000"/>
                <w:lang w:eastAsia="hr-HR"/>
              </w:rPr>
              <w:t>13.2. Kontinuirana tehnološka, procesna i funkcionalna nadogradnja postojećeg IT sustava objave otvorenih podataka</w:t>
            </w:r>
          </w:p>
        </w:tc>
      </w:tr>
      <w:tr w:rsidR="00EB1790" w:rsidRPr="0033148D" w14:paraId="718A891A"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D168D4D" w14:textId="0BA60B37" w:rsidR="00EB1790"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5379CE2"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EB1790" w:rsidRPr="0033148D" w14:paraId="0ABC404A"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9BD25A4" w14:textId="034C994B" w:rsidR="00EB1790"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859DE91" w14:textId="7D171B4C"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1071B79F" w14:textId="77777777" w:rsidTr="00FD1185">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2FB01AA"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227BCC19"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2519FF2" w14:textId="6F63B4FF"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76E071FD" w14:textId="77777777" w:rsidTr="00FD1185">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759E04C9"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4A2A8270"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BDAE06C" w14:textId="6F9A509D" w:rsidR="00EB1790"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6EBB4302"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B81E030" w14:textId="77777777"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p w14:paraId="60824CDB" w14:textId="77777777"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Cs/>
                <w:i/>
                <w:color w:val="000000"/>
                <w:lang w:eastAsia="hr-HR"/>
              </w:rPr>
              <w:t>(ako je bilo odstupanja, molimo pojasniti)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1CB48FA" w14:textId="77777777" w:rsidR="00EB1790" w:rsidRPr="0033148D" w:rsidRDefault="00EB1790"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w:t>
            </w:r>
          </w:p>
        </w:tc>
      </w:tr>
      <w:tr w:rsidR="00EB1790" w:rsidRPr="0033148D" w14:paraId="596AD9CB"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10699AB" w14:textId="77777777"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p w14:paraId="1541FBEE" w14:textId="77777777" w:rsidR="00EB1790" w:rsidRPr="0033148D" w:rsidRDefault="00EB1790"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Cs/>
                <w:i/>
                <w:color w:val="000000"/>
                <w:lang w:eastAsia="hr-HR"/>
              </w:rPr>
              <w:t>(ako je bilo odstupanja, molimo pojasniti)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F6AA5E4" w14:textId="77777777" w:rsidR="00EB1790" w:rsidRPr="0033148D" w:rsidRDefault="006F211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EB1790" w:rsidRPr="0033148D">
              <w:rPr>
                <w:rFonts w:ascii="Calibri" w:eastAsia="Times New Roman" w:hAnsi="Calibri" w:cs="Times New Roman"/>
                <w:color w:val="000000"/>
                <w:lang w:eastAsia="hr-HR"/>
              </w:rPr>
              <w:t>rosinac 2023.</w:t>
            </w:r>
          </w:p>
        </w:tc>
      </w:tr>
      <w:tr w:rsidR="00EB1790" w:rsidRPr="0033148D" w14:paraId="50B22902" w14:textId="77777777" w:rsidTr="00FD118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A3E1496" w14:textId="33F565B9" w:rsidR="00EB1790"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AA896E9" w14:textId="77777777" w:rsidR="00EB1790" w:rsidRPr="0033148D" w:rsidRDefault="00B27493" w:rsidP="0033148D">
            <w:p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Održane 2 posebno oblikovane edukacije godišnje za ciljanu skupinu – službenike za informiranje u tijelima javne vlasti.</w:t>
            </w:r>
            <w:r w:rsidRPr="0033148D">
              <w:t xml:space="preserve"> </w:t>
            </w:r>
          </w:p>
        </w:tc>
      </w:tr>
      <w:tr w:rsidR="00EB1790" w:rsidRPr="0033148D" w14:paraId="64423BCC" w14:textId="77777777" w:rsidTr="00FD1185">
        <w:trPr>
          <w:trHeight w:val="718"/>
          <w:jc w:val="center"/>
        </w:trPr>
        <w:tc>
          <w:tcPr>
            <w:tcW w:w="421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DDFA968" w14:textId="57E4E438" w:rsidR="00EB1790" w:rsidRPr="0033148D" w:rsidRDefault="00EB1790"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872E314"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1A7E707A"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7FADB59C"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461D11D7" w14:textId="77777777" w:rsidR="00EB1790" w:rsidRPr="0033148D" w:rsidRDefault="00EB1790"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EB1790" w:rsidRPr="0033148D" w14:paraId="23C24765" w14:textId="77777777" w:rsidTr="001340F3">
        <w:trPr>
          <w:trHeight w:val="642"/>
          <w:jc w:val="center"/>
        </w:trPr>
        <w:tc>
          <w:tcPr>
            <w:tcW w:w="4219" w:type="dxa"/>
            <w:gridSpan w:val="2"/>
            <w:vMerge/>
            <w:tcBorders>
              <w:top w:val="single" w:sz="4" w:space="0" w:color="auto"/>
              <w:left w:val="single" w:sz="4" w:space="0" w:color="auto"/>
              <w:bottom w:val="single" w:sz="4" w:space="0" w:color="000000"/>
              <w:right w:val="single" w:sz="4" w:space="0" w:color="000000"/>
            </w:tcBorders>
            <w:vAlign w:val="center"/>
            <w:hideMark/>
          </w:tcPr>
          <w:p w14:paraId="5BFCE104" w14:textId="77777777" w:rsidR="00EB1790" w:rsidRPr="0033148D" w:rsidRDefault="00EB1790"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0F51437A"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3B965DD0"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1299BAC6"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2E9EF8F9" w14:textId="77777777" w:rsidR="00EB1790" w:rsidRPr="0033148D" w:rsidRDefault="00EB1790"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EB1790" w:rsidRPr="0033148D" w14:paraId="4CD517B5" w14:textId="77777777" w:rsidTr="00FD1185">
        <w:trPr>
          <w:trHeight w:val="642"/>
          <w:jc w:val="center"/>
        </w:trPr>
        <w:tc>
          <w:tcPr>
            <w:tcW w:w="421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6F39A67C" w14:textId="33AF632F" w:rsidR="00EB1790" w:rsidRPr="0033148D" w:rsidRDefault="00EB1790" w:rsidP="004E224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61AD34F2" w14:textId="5C96FFC4" w:rsidR="00EB1790" w:rsidRPr="0033148D" w:rsidRDefault="00EB1790" w:rsidP="00E915C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Umjesto </w:t>
            </w:r>
            <w:r w:rsidR="000F6D0F" w:rsidRPr="0033148D">
              <w:rPr>
                <w:rFonts w:ascii="Calibri" w:eastAsia="Times New Roman" w:hAnsi="Calibri" w:cs="Times New Roman"/>
                <w:color w:val="000000"/>
                <w:lang w:eastAsia="hr-HR"/>
              </w:rPr>
              <w:t>dvije</w:t>
            </w:r>
            <w:r w:rsidRPr="0033148D">
              <w:rPr>
                <w:rFonts w:ascii="Calibri" w:eastAsia="Times New Roman" w:hAnsi="Calibri" w:cs="Times New Roman"/>
                <w:color w:val="000000"/>
                <w:lang w:eastAsia="hr-HR"/>
              </w:rPr>
              <w:t xml:space="preserve"> posebno oblikovane edukacije godišnje za ciljanu skupinu u suradnji s DŠJU, na sustav </w:t>
            </w:r>
            <w:proofErr w:type="spellStart"/>
            <w:r w:rsidRPr="0033148D">
              <w:rPr>
                <w:rFonts w:ascii="Calibri" w:eastAsia="Times New Roman" w:hAnsi="Calibri" w:cs="Times New Roman"/>
                <w:color w:val="000000"/>
                <w:lang w:eastAsia="hr-HR"/>
              </w:rPr>
              <w:t>Moodle</w:t>
            </w:r>
            <w:proofErr w:type="spellEnd"/>
            <w:r w:rsidRPr="0033148D">
              <w:rPr>
                <w:rFonts w:ascii="Calibri" w:eastAsia="Times New Roman" w:hAnsi="Calibri" w:cs="Times New Roman"/>
                <w:color w:val="000000"/>
                <w:lang w:eastAsia="hr-HR"/>
              </w:rPr>
              <w:t xml:space="preserve"> na portalu otvorenih podataka </w:t>
            </w:r>
            <w:hyperlink r:id="rId36" w:history="1">
              <w:r w:rsidRPr="0033148D">
                <w:rPr>
                  <w:rStyle w:val="Hyperlink"/>
                  <w:rFonts w:ascii="Calibri" w:eastAsia="Times New Roman" w:hAnsi="Calibri" w:cs="Times New Roman"/>
                  <w:lang w:eastAsia="hr-HR"/>
                </w:rPr>
                <w:t>https://data.gov.hr/</w:t>
              </w:r>
            </w:hyperlink>
            <w:r w:rsidRPr="0033148D">
              <w:rPr>
                <w:rFonts w:ascii="Calibri" w:eastAsia="Times New Roman" w:hAnsi="Calibri" w:cs="Times New Roman"/>
                <w:color w:val="000000"/>
                <w:lang w:eastAsia="hr-HR"/>
              </w:rPr>
              <w:t xml:space="preserve"> </w:t>
            </w:r>
            <w:r w:rsidR="003070CC" w:rsidRPr="0033148D">
              <w:rPr>
                <w:rFonts w:ascii="Calibri" w:eastAsia="Times New Roman" w:hAnsi="Calibri" w:cs="Times New Roman"/>
                <w:color w:val="000000"/>
                <w:lang w:eastAsia="hr-HR"/>
              </w:rPr>
              <w:t xml:space="preserve">postavljene su korisničke upute koje službenicima u tijelima javne vlasti daju informacije na koji način objaviti skupove podataka na Portalu otvorenih podataka. Također, u sklopu projekta </w:t>
            </w:r>
            <w:r w:rsidR="003070CC" w:rsidRPr="004E224E">
              <w:rPr>
                <w:rFonts w:ascii="Calibri" w:eastAsia="Times New Roman" w:hAnsi="Calibri" w:cs="Times New Roman"/>
                <w:i/>
                <w:color w:val="000000"/>
                <w:lang w:eastAsia="hr-HR"/>
              </w:rPr>
              <w:t>Prilagodba informacijskih sustava tijela javnog sektora Portalu otvorenih podataka</w:t>
            </w:r>
            <w:r w:rsidR="003070CC" w:rsidRPr="0033148D">
              <w:rPr>
                <w:rFonts w:ascii="Calibri" w:eastAsia="Times New Roman" w:hAnsi="Calibri" w:cs="Times New Roman"/>
                <w:color w:val="000000"/>
                <w:lang w:eastAsia="hr-HR"/>
              </w:rPr>
              <w:t xml:space="preserve"> kroz 18 radionica educirano je 468 državnih i javnih službenika za korištenje portala, te kako da ispune zakonsku obvezu objave setova podataka svojih tijela na Portalu otvorenih podataka.</w:t>
            </w:r>
            <w:r w:rsidRPr="0033148D">
              <w:rPr>
                <w:rFonts w:ascii="Calibri" w:eastAsia="Times New Roman" w:hAnsi="Calibri" w:cs="Times New Roman"/>
                <w:color w:val="000000"/>
                <w:lang w:eastAsia="hr-HR"/>
              </w:rPr>
              <w:t xml:space="preserve"> Zbog provedbe EU projekta “Prilagodba informacijskih </w:t>
            </w:r>
            <w:r w:rsidRPr="0033148D">
              <w:rPr>
                <w:rFonts w:ascii="Calibri" w:eastAsia="Times New Roman" w:hAnsi="Calibri" w:cs="Times New Roman"/>
                <w:color w:val="000000"/>
                <w:lang w:eastAsia="hr-HR"/>
              </w:rPr>
              <w:lastRenderedPageBreak/>
              <w:t>sustava tijela javnog sektora Portalu otvorenih podataka (Open Data)” procijenjeno je da će u ovom trenutku ovakav način edukacije biti adekvatniji.</w:t>
            </w:r>
          </w:p>
        </w:tc>
      </w:tr>
      <w:tr w:rsidR="00EB1790" w:rsidRPr="0033148D" w14:paraId="54A5E361" w14:textId="77777777" w:rsidTr="007A4029">
        <w:trPr>
          <w:trHeight w:val="2797"/>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5FB54E5" w14:textId="15F6E4D5" w:rsidR="00EB1790" w:rsidRPr="0033148D" w:rsidRDefault="00EB1790" w:rsidP="004E224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lastRenderedPageBreak/>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5F49C60" w14:textId="77777777" w:rsidR="00EB1790" w:rsidRPr="0033148D" w:rsidRDefault="00EB1790" w:rsidP="0033148D">
            <w:pPr>
              <w:spacing w:line="240" w:lineRule="auto"/>
              <w:rPr>
                <w:rFonts w:eastAsia="Times New Roman" w:cstheme="minorHAnsi"/>
                <w:color w:val="000000"/>
              </w:rPr>
            </w:pPr>
            <w:r w:rsidRPr="0033148D">
              <w:rPr>
                <w:rFonts w:eastAsia="Times New Roman" w:cstheme="minorHAnsi"/>
                <w:color w:val="000000"/>
              </w:rPr>
              <w:t>Rezultati provedbe projekta “Prilagodba informacijskih sustava tijela javnog sektora Portalu otvorenih podataka (Open Data)” bili su: Tehnološko, procesno i funkcionalno unaprjeđenje IT sustava za objavu otvorenih podataka tijela javne vlasti u strojno čitljivom obliku i Jačanje kapaciteta zaposlenika tijela državne i javne vlasti te uključivanje većeg broja subjekata istih u objavljivanje otvorenih podataka, kao i aktivnije uključivanje svih dionika u sustav otvorenih podataka. Kao jedan od pokazatelja projekta provedeno je 18 online edukacija, od toga je 468 službenika prošlo edukacije i prihvaćeni su kao sudionici u projektu.</w:t>
            </w:r>
          </w:p>
          <w:p w14:paraId="041FD7C9" w14:textId="3BA7E5DC" w:rsidR="00EB1790" w:rsidRPr="0033148D" w:rsidRDefault="00EB1790" w:rsidP="001E2846">
            <w:pPr>
              <w:spacing w:after="0" w:line="240" w:lineRule="auto"/>
              <w:rPr>
                <w:rFonts w:eastAsia="Times New Roman" w:cstheme="minorHAnsi"/>
                <w:color w:val="000000"/>
              </w:rPr>
            </w:pPr>
            <w:r w:rsidRPr="0033148D">
              <w:rPr>
                <w:rFonts w:eastAsia="Times New Roman" w:cstheme="minorHAnsi"/>
                <w:color w:val="000000"/>
              </w:rPr>
              <w:t xml:space="preserve">Umjesto </w:t>
            </w:r>
            <w:r w:rsidR="000F6D0F" w:rsidRPr="0033148D">
              <w:rPr>
                <w:rFonts w:eastAsia="Times New Roman" w:cstheme="minorHAnsi"/>
                <w:color w:val="000000"/>
              </w:rPr>
              <w:t>dvije</w:t>
            </w:r>
            <w:r w:rsidRPr="0033148D">
              <w:rPr>
                <w:rFonts w:eastAsia="Times New Roman" w:cstheme="minorHAnsi"/>
                <w:color w:val="000000"/>
              </w:rPr>
              <w:t xml:space="preserve"> posebno oblikovane edukacije godišnje za ciljanu skupinu u suradnji s DŠJU, na sustav </w:t>
            </w:r>
            <w:proofErr w:type="spellStart"/>
            <w:r w:rsidRPr="0033148D">
              <w:rPr>
                <w:rFonts w:eastAsia="Times New Roman" w:cstheme="minorHAnsi"/>
                <w:color w:val="000000"/>
              </w:rPr>
              <w:t>Moodle</w:t>
            </w:r>
            <w:proofErr w:type="spellEnd"/>
            <w:r w:rsidRPr="0033148D">
              <w:rPr>
                <w:rFonts w:eastAsia="Times New Roman" w:cstheme="minorHAnsi"/>
                <w:color w:val="000000"/>
              </w:rPr>
              <w:t xml:space="preserve"> na portalu otvorenih podataka </w:t>
            </w:r>
            <w:hyperlink r:id="rId37" w:history="1">
              <w:r w:rsidRPr="0033148D">
                <w:rPr>
                  <w:rStyle w:val="Hyperlink"/>
                  <w:rFonts w:eastAsia="Times New Roman" w:cstheme="minorHAnsi"/>
                </w:rPr>
                <w:t>https://data.gov.hr/</w:t>
              </w:r>
            </w:hyperlink>
            <w:r w:rsidR="003070CC" w:rsidRPr="0033148D">
              <w:rPr>
                <w:rFonts w:eastAsia="Times New Roman" w:cstheme="minorHAnsi"/>
                <w:color w:val="000000"/>
              </w:rPr>
              <w:t xml:space="preserve"> postavljene su korisničke upute koje službenicima u tijelima javne vlasti daju informacije na koji način objaviti skupove podataka na Portalu otvorenih podataka</w:t>
            </w:r>
            <w:r w:rsidRPr="0033148D">
              <w:rPr>
                <w:rFonts w:eastAsia="Times New Roman" w:cstheme="minorHAnsi"/>
                <w:color w:val="000000"/>
              </w:rPr>
              <w:t xml:space="preserve">. </w:t>
            </w:r>
          </w:p>
        </w:tc>
      </w:tr>
      <w:tr w:rsidR="00EB1790" w:rsidRPr="0033148D" w14:paraId="56ED794F"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211F159" w14:textId="2B5D2486" w:rsidR="00EB1790" w:rsidRPr="0033148D" w:rsidRDefault="00EB1790" w:rsidP="004E224E">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564CBDC" w14:textId="77777777" w:rsidR="005F65E3" w:rsidRPr="0033148D" w:rsidRDefault="005F65E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EB1790" w:rsidRPr="0033148D" w14:paraId="0E5457F2" w14:textId="77777777" w:rsidTr="004E224E">
        <w:trPr>
          <w:trHeight w:val="431"/>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F53A2FD" w14:textId="73E2F2A1" w:rsidR="00EB1790" w:rsidRPr="0033148D" w:rsidRDefault="00EB1790" w:rsidP="004E224E">
            <w:pPr>
              <w:spacing w:line="240" w:lineRule="auto"/>
              <w:rPr>
                <w:rFonts w:ascii="Calibri" w:eastAsia="Times New Roman" w:hAnsi="Calibri" w:cs="Times New Roman"/>
                <w:color w:val="000000"/>
                <w:lang w:eastAsia="hr-HR"/>
              </w:rPr>
            </w:pPr>
            <w:r w:rsidRPr="0033148D">
              <w:rPr>
                <w:b/>
                <w:bCs/>
                <w:lang w:eastAsia="hr-HR"/>
              </w:rPr>
              <w:t>Sljedeći koraci</w:t>
            </w:r>
            <w:r w:rsidR="004E224E">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6A0B533" w14:textId="77777777" w:rsidR="00EB1790" w:rsidRPr="0033148D" w:rsidRDefault="005F65E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54BEA07A" w14:textId="77777777" w:rsidR="005103FC" w:rsidRPr="0033148D" w:rsidRDefault="005103FC" w:rsidP="0033148D">
      <w:pPr>
        <w:spacing w:line="240" w:lineRule="auto"/>
      </w:pPr>
    </w:p>
    <w:p w14:paraId="301F3FB0" w14:textId="77777777" w:rsidR="00505F0F" w:rsidRPr="0091246B" w:rsidRDefault="00505F0F" w:rsidP="00267611">
      <w:pPr>
        <w:pStyle w:val="Heading2"/>
        <w:rPr>
          <w:b/>
        </w:rPr>
      </w:pPr>
      <w:bookmarkStart w:id="32" w:name="_Toc183591332"/>
      <w:r w:rsidRPr="0091246B">
        <w:rPr>
          <w:b/>
        </w:rPr>
        <w:t>D - SUDJELOVANJE GRAĐANA / CIVILNOG DRUŠTVA U PROCESIMA IZRADE, PROVEDBE I PRAĆENJA JAVNIH POLITIKA</w:t>
      </w:r>
      <w:bookmarkEnd w:id="32"/>
    </w:p>
    <w:p w14:paraId="39DB14D6" w14:textId="77777777" w:rsidR="00505F0F" w:rsidRPr="007A4029" w:rsidRDefault="00505F0F" w:rsidP="00267611">
      <w:pPr>
        <w:pStyle w:val="Heading3"/>
      </w:pPr>
      <w:bookmarkStart w:id="33" w:name="_Toc183591333"/>
      <w:r w:rsidRPr="007A4029">
        <w:t>MJERA 14 - DODATNO UNAPRJEĐENJE PROVEDBE SAVJETOVANJA S JAVNOŠĆU</w:t>
      </w:r>
      <w:bookmarkEnd w:id="33"/>
    </w:p>
    <w:tbl>
      <w:tblPr>
        <w:tblW w:w="14596" w:type="dxa"/>
        <w:jc w:val="center"/>
        <w:tblLook w:val="04A0" w:firstRow="1" w:lastRow="0" w:firstColumn="1" w:lastColumn="0" w:noHBand="0" w:noVBand="1"/>
      </w:tblPr>
      <w:tblGrid>
        <w:gridCol w:w="1980"/>
        <w:gridCol w:w="2126"/>
        <w:gridCol w:w="2693"/>
        <w:gridCol w:w="2410"/>
        <w:gridCol w:w="2552"/>
        <w:gridCol w:w="2835"/>
      </w:tblGrid>
      <w:tr w:rsidR="0086194D" w:rsidRPr="0033148D" w14:paraId="6A91B10C" w14:textId="77777777" w:rsidTr="00A42299">
        <w:trPr>
          <w:trHeight w:val="431"/>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C0DFE" w14:textId="7BBD1096" w:rsidR="0086194D" w:rsidRPr="0033148D" w:rsidRDefault="007B60AF"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14.1 – Unaprijediti Kodeks savjetovanja sa zainteresiranom javnošću u postupcima donošenja zakona, drugih propisa i akata</w:t>
            </w:r>
          </w:p>
        </w:tc>
      </w:tr>
      <w:tr w:rsidR="0086194D" w:rsidRPr="0033148D" w14:paraId="3D424957" w14:textId="77777777" w:rsidTr="00A4229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4CD58F4" w14:textId="6509A046"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4DA7EE1"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zakonodavstvo</w:t>
            </w:r>
          </w:p>
        </w:tc>
      </w:tr>
      <w:tr w:rsidR="0086194D" w:rsidRPr="0033148D" w14:paraId="2ACA10CC" w14:textId="77777777" w:rsidTr="00A4229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93D0AF8" w14:textId="55BE3DDF"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5DA826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Povjerenik za informiranje, Ured za udruge Vlade Republike Hrvatske</w:t>
            </w:r>
          </w:p>
        </w:tc>
      </w:tr>
      <w:tr w:rsidR="0086194D" w:rsidRPr="0033148D" w14:paraId="44BD359D" w14:textId="77777777" w:rsidTr="00BA2911">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24F3385B"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21C5B12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82A2AEA" w14:textId="3CD38E6F" w:rsidR="0086194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42F3A908" w14:textId="77777777" w:rsidTr="00BA2911">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29BEA360"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18E5D7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DA44B91" w14:textId="4153D5A9" w:rsidR="0086194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47C1173E"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FF58B83" w14:textId="384D396A"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9F5DA35"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15. srpnja 2022. godine</w:t>
            </w:r>
          </w:p>
        </w:tc>
      </w:tr>
      <w:tr w:rsidR="0086194D" w:rsidRPr="0033148D" w14:paraId="52FD3312"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A1C588F" w14:textId="388C7782"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C7E43D6"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w:t>
            </w:r>
          </w:p>
        </w:tc>
      </w:tr>
      <w:tr w:rsidR="0086194D" w:rsidRPr="0033148D" w14:paraId="3A4DEB51" w14:textId="77777777" w:rsidTr="00BA2911">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33E168B" w14:textId="5ACCE53B"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FF377F5"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Provedeno široko savjetovanje u suradnji sa Savjetom za razvoj civilnog društva s organizacijama civilnog društva o ciljevima i sadržaju Kodeksa; Usvojen novi Kodeks savjetovanja sa zainteresiranom javnošću u postupcima donošenja zakona, drugih propisa i akata; Revidirane Smjernice za primjenu Kodeksa savjetovanja sa zainteresiranom javnošću u postupcima donošenja zakona, drugih propisa i akata</w:t>
            </w:r>
          </w:p>
        </w:tc>
      </w:tr>
      <w:tr w:rsidR="0086194D" w:rsidRPr="0033148D" w14:paraId="67D3C83F" w14:textId="77777777" w:rsidTr="00BA2911">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98843D8" w14:textId="2654250E"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9F886B"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02412746"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188C56F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5AF0ED7D"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2973822B" w14:textId="77777777" w:rsidTr="00CD62F4">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2B6120C"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5DDF252F"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54A25936"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552" w:type="dxa"/>
            <w:tcBorders>
              <w:top w:val="nil"/>
              <w:left w:val="nil"/>
              <w:bottom w:val="single" w:sz="4" w:space="0" w:color="auto"/>
              <w:right w:val="single" w:sz="4" w:space="0" w:color="auto"/>
            </w:tcBorders>
            <w:shd w:val="clear" w:color="auto" w:fill="auto"/>
            <w:noWrap/>
            <w:vAlign w:val="center"/>
            <w:hideMark/>
          </w:tcPr>
          <w:p w14:paraId="73453DFD"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4267F6CA"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r>
      <w:tr w:rsidR="0086194D" w:rsidRPr="0033148D" w14:paraId="1AEAE319" w14:textId="77777777" w:rsidTr="00BA2911">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F557CD8" w14:textId="167B36DD" w:rsidR="0086194D" w:rsidRPr="0033148D" w:rsidRDefault="0086194D" w:rsidP="00A4229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1DA3406A" w14:textId="11BAC094" w:rsidR="0086194D" w:rsidRPr="0033148D" w:rsidRDefault="0086194D" w:rsidP="00A42299">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 xml:space="preserve">1. siječnja 2024. godine na snagu je stupio novi Zakon o instrumentima politike boljih propisa, koji je na jednom mjestu objedinio i unaprijedio osnovne instrumente politike boljih propisa, uključujući i savjetovanje s javnošću. Uredba o metodologiji i postupku provedbe instrumenata politike boljih propisa kao prateći </w:t>
            </w:r>
            <w:proofErr w:type="spellStart"/>
            <w:r w:rsidRPr="0033148D">
              <w:rPr>
                <w:rFonts w:ascii="Calibri" w:eastAsia="Times New Roman" w:hAnsi="Calibri" w:cs="Times New Roman"/>
                <w:bCs/>
                <w:color w:val="000000"/>
                <w:lang w:eastAsia="hr-HR"/>
              </w:rPr>
              <w:t>podzakonski</w:t>
            </w:r>
            <w:proofErr w:type="spellEnd"/>
            <w:r w:rsidRPr="0033148D">
              <w:rPr>
                <w:rFonts w:ascii="Calibri" w:eastAsia="Times New Roman" w:hAnsi="Calibri" w:cs="Times New Roman"/>
                <w:bCs/>
                <w:color w:val="000000"/>
                <w:lang w:eastAsia="hr-HR"/>
              </w:rPr>
              <w:t xml:space="preserve"> akt, predviđa donošenje Smjernica za provedbu instrumenata politike boljih propisa </w:t>
            </w:r>
            <w:r w:rsidR="001E2846">
              <w:rPr>
                <w:rFonts w:ascii="Calibri" w:eastAsia="Times New Roman" w:hAnsi="Calibri" w:cs="Times New Roman"/>
                <w:bCs/>
                <w:color w:val="000000"/>
                <w:lang w:eastAsia="hr-HR"/>
              </w:rPr>
              <w:t>koje su donesene u ožujku 2024</w:t>
            </w:r>
            <w:r w:rsidRPr="0033148D">
              <w:rPr>
                <w:rFonts w:ascii="Calibri" w:eastAsia="Times New Roman" w:hAnsi="Calibri" w:cs="Times New Roman"/>
                <w:bCs/>
                <w:color w:val="000000"/>
                <w:lang w:eastAsia="hr-HR"/>
              </w:rPr>
              <w:t>. Smjernice za provedbu instrumenata politike boljih propisa sadržava</w:t>
            </w:r>
            <w:r w:rsidR="001E2846">
              <w:rPr>
                <w:rFonts w:ascii="Calibri" w:eastAsia="Times New Roman" w:hAnsi="Calibri" w:cs="Times New Roman"/>
                <w:bCs/>
                <w:color w:val="000000"/>
                <w:lang w:eastAsia="hr-HR"/>
              </w:rPr>
              <w:t>ju</w:t>
            </w:r>
            <w:r w:rsidRPr="0033148D">
              <w:rPr>
                <w:rFonts w:ascii="Calibri" w:eastAsia="Times New Roman" w:hAnsi="Calibri" w:cs="Times New Roman"/>
                <w:bCs/>
                <w:color w:val="000000"/>
                <w:lang w:eastAsia="hr-HR"/>
              </w:rPr>
              <w:t xml:space="preserve"> i revidirane smjernice za provedbu savjetovanja s javnošću te na taj način djelomično biti ostvarena mjera 14.1.</w:t>
            </w:r>
          </w:p>
        </w:tc>
      </w:tr>
      <w:tr w:rsidR="0086194D" w:rsidRPr="0033148D" w14:paraId="43CF1D02" w14:textId="77777777" w:rsidTr="00A4229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016FF96" w14:textId="59A449FC" w:rsidR="0086194D" w:rsidRPr="0033148D" w:rsidRDefault="0086194D" w:rsidP="00A4229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r w:rsidRPr="0033148D">
              <w:rPr>
                <w:rFonts w:ascii="Calibri" w:eastAsia="Times New Roman" w:hAnsi="Calibri" w:cs="Times New Roman"/>
                <w:i/>
                <w:i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D57FE99" w14:textId="251DF513" w:rsidR="0086194D" w:rsidRPr="0033148D" w:rsidRDefault="0086194D" w:rsidP="001E2846">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Dio mjere </w:t>
            </w:r>
            <w:r w:rsidR="001E2846">
              <w:rPr>
                <w:rFonts w:ascii="Calibri" w:eastAsia="Times New Roman" w:hAnsi="Calibri" w:cs="Times New Roman"/>
                <w:color w:val="000000"/>
                <w:lang w:eastAsia="hr-HR"/>
              </w:rPr>
              <w:t>je</w:t>
            </w:r>
            <w:r w:rsidRPr="0033148D">
              <w:rPr>
                <w:rFonts w:ascii="Calibri" w:eastAsia="Times New Roman" w:hAnsi="Calibri" w:cs="Times New Roman"/>
                <w:color w:val="000000"/>
                <w:lang w:eastAsia="hr-HR"/>
              </w:rPr>
              <w:t xml:space="preserve"> ostvaren sukladno gore naveden</w:t>
            </w:r>
            <w:r w:rsidR="001E2846">
              <w:rPr>
                <w:rFonts w:ascii="Calibri" w:eastAsia="Times New Roman" w:hAnsi="Calibri" w:cs="Times New Roman"/>
                <w:color w:val="000000"/>
                <w:lang w:eastAsia="hr-HR"/>
              </w:rPr>
              <w:t>im izmjenama</w:t>
            </w:r>
            <w:r w:rsidRPr="0033148D">
              <w:rPr>
                <w:rFonts w:ascii="Calibri" w:eastAsia="Times New Roman" w:hAnsi="Calibri" w:cs="Times New Roman"/>
                <w:color w:val="000000"/>
                <w:lang w:eastAsia="hr-HR"/>
              </w:rPr>
              <w:t>.</w:t>
            </w:r>
          </w:p>
        </w:tc>
      </w:tr>
      <w:tr w:rsidR="0086194D" w:rsidRPr="0033148D" w14:paraId="7EAB786A" w14:textId="77777777" w:rsidTr="00A4229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9BA08F6" w14:textId="58786D55" w:rsidR="0086194D" w:rsidRPr="0033148D" w:rsidRDefault="0086194D" w:rsidP="00A42299">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F6947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19080DF2" w14:textId="77777777" w:rsidTr="00A42299">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3378820" w14:textId="6887F751" w:rsidR="0086194D" w:rsidRPr="0033148D" w:rsidRDefault="0086194D" w:rsidP="00A42299">
            <w:pPr>
              <w:spacing w:line="240" w:lineRule="auto"/>
              <w:rPr>
                <w:rFonts w:ascii="Calibri" w:eastAsia="Times New Roman" w:hAnsi="Calibri" w:cs="Times New Roman"/>
                <w:color w:val="000000"/>
                <w:lang w:eastAsia="hr-HR"/>
              </w:rPr>
            </w:pPr>
            <w:r w:rsidRPr="0033148D">
              <w:rPr>
                <w:b/>
                <w:bCs/>
                <w:lang w:eastAsia="hr-HR"/>
              </w:rPr>
              <w:t>Sljedeći koraci</w:t>
            </w:r>
            <w:r w:rsidR="00A42299">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6DF2CA"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60573DF1" w14:textId="5827818E" w:rsidR="0086194D" w:rsidRPr="0033148D" w:rsidRDefault="0086194D" w:rsidP="0033148D">
      <w:pPr>
        <w:spacing w:line="240" w:lineRule="auto"/>
      </w:pPr>
    </w:p>
    <w:tbl>
      <w:tblPr>
        <w:tblW w:w="14596" w:type="dxa"/>
        <w:jc w:val="center"/>
        <w:tblLook w:val="04A0" w:firstRow="1" w:lastRow="0" w:firstColumn="1" w:lastColumn="0" w:noHBand="0" w:noVBand="1"/>
      </w:tblPr>
      <w:tblGrid>
        <w:gridCol w:w="1980"/>
        <w:gridCol w:w="2126"/>
        <w:gridCol w:w="2693"/>
        <w:gridCol w:w="2410"/>
        <w:gridCol w:w="2552"/>
        <w:gridCol w:w="2835"/>
      </w:tblGrid>
      <w:tr w:rsidR="0086194D" w:rsidRPr="0033148D" w14:paraId="7F7AD1E0" w14:textId="77777777" w:rsidTr="00F355E7">
        <w:trPr>
          <w:trHeight w:val="70"/>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CEC57C" w14:textId="6B6FFD9D"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14.2 – Unaprijediti interaktivni internetski sustav za savjetovanje s javnošću u postupcima donošenja zakona, drugih propisa i akata (e-Savjetovanja)</w:t>
            </w:r>
          </w:p>
        </w:tc>
      </w:tr>
      <w:tr w:rsidR="0086194D" w:rsidRPr="0033148D" w14:paraId="202B159B"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E8E368A" w14:textId="424D1C7B"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CEFF76"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 Ured za zakonodavstvo</w:t>
            </w:r>
          </w:p>
        </w:tc>
      </w:tr>
      <w:tr w:rsidR="0086194D" w:rsidRPr="0033148D" w14:paraId="4FDD5542"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8224E77" w14:textId="3AAFC3CB"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72920D6"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 Povjerenik za informiranje</w:t>
            </w:r>
          </w:p>
        </w:tc>
      </w:tr>
      <w:tr w:rsidR="0086194D" w:rsidRPr="0033148D" w14:paraId="66FA47D2" w14:textId="77777777" w:rsidTr="00BA2911">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91CA28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A95432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B3D3A82" w14:textId="4734F7BB" w:rsidR="0086194D" w:rsidRPr="0033148D" w:rsidRDefault="007A144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8DB79B5" w14:textId="77777777" w:rsidTr="00BA2911">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2AA21EC7"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288389D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94AE261"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Radna skupina u sklopu projekta „e-Savjetovanja – proširenja, nadgradnje i unaprjeđenje zakonodavnih procesa savjetovanja s javnošću“ u kojoj su uz predstavnike tijela državne uprave i državnih tijela sudjelovali predstavnici lokalne i područne (regionalne) samouprave</w:t>
            </w:r>
          </w:p>
        </w:tc>
      </w:tr>
      <w:tr w:rsidR="0086194D" w:rsidRPr="0033148D" w14:paraId="2D129C6C"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90CE87F" w14:textId="71D1E17D"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F4033DF"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16. kolovoza 2021. godine</w:t>
            </w:r>
          </w:p>
        </w:tc>
      </w:tr>
      <w:tr w:rsidR="0086194D" w:rsidRPr="0033148D" w14:paraId="713CE919"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7A0B83F" w14:textId="3029920C"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BC93681"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 prosinca 2023. godine</w:t>
            </w:r>
          </w:p>
        </w:tc>
      </w:tr>
      <w:tr w:rsidR="0086194D" w:rsidRPr="0033148D" w14:paraId="6F44B433"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3304B9D" w14:textId="26A24976"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ED1BCCD"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JLP(R)S objavljuju savjetovanja s javnošću na središnjem sustavu e-Savjetovanja</w:t>
            </w:r>
          </w:p>
        </w:tc>
      </w:tr>
      <w:tr w:rsidR="0086194D" w:rsidRPr="0033148D" w14:paraId="6AC77B42" w14:textId="77777777" w:rsidTr="00BA2911">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223B322" w14:textId="7899BBBF"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E9C0136"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11E730A3"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6D41A3A5"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A2FE74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0D7BB8EC" w14:textId="77777777" w:rsidTr="007A4029">
        <w:trPr>
          <w:trHeight w:val="642"/>
          <w:jc w:val="center"/>
        </w:trPr>
        <w:tc>
          <w:tcPr>
            <w:tcW w:w="4106" w:type="dxa"/>
            <w:gridSpan w:val="2"/>
            <w:vMerge/>
            <w:tcBorders>
              <w:top w:val="single" w:sz="4" w:space="0" w:color="auto"/>
              <w:left w:val="single" w:sz="4" w:space="0" w:color="auto"/>
              <w:bottom w:val="single" w:sz="4" w:space="0" w:color="auto"/>
              <w:right w:val="single" w:sz="4" w:space="0" w:color="000000"/>
            </w:tcBorders>
            <w:vAlign w:val="center"/>
            <w:hideMark/>
          </w:tcPr>
          <w:p w14:paraId="01D07A3B"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35EDE899"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03011426"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5B6EA2C3"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3E66EC15"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77D2FE0C"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7200A9" w14:textId="15F493AC"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69045CF" w14:textId="41D5ED75"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31D331A9" w14:textId="77777777" w:rsidTr="007A4029">
        <w:trPr>
          <w:trHeight w:val="89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469091E" w14:textId="15107E12" w:rsidR="0086194D" w:rsidRPr="0033148D" w:rsidRDefault="0086194D" w:rsidP="008925A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C8FC05A" w14:textId="73660614"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Cs/>
                <w:color w:val="000000"/>
                <w:lang w:eastAsia="hr-HR"/>
              </w:rPr>
              <w:t>Projekt pod nazivom „e-</w:t>
            </w:r>
            <w:r w:rsidRPr="0033148D">
              <w:rPr>
                <w:rFonts w:ascii="Calibri" w:eastAsia="Times New Roman" w:hAnsi="Calibri" w:cs="Times New Roman"/>
                <w:color w:val="000000"/>
                <w:lang w:eastAsia="hr-HR"/>
              </w:rPr>
              <w:t xml:space="preserve">Savjetovanja – proširenja, nadgradnje i unaprjeđenje zakonodavnih procesa savjetovanja s javnošću“ završen je u prosincu 2023. godine. Rezultat projekta je tehnološko, procesno i funkcionalno unaprjeđenje i proširenje IT sustava e-Savjetovanja, te jačanje kapaciteta i poboljšanje rada postojećeg sustava e-Savjetovanja, kao i zaposlenika državne i javne uprave za rad u sustavu e-Savjetovanja. </w:t>
            </w:r>
            <w:r w:rsidR="00EE7C08" w:rsidRPr="0033148D">
              <w:rPr>
                <w:rFonts w:ascii="Calibri" w:eastAsia="Times New Roman" w:hAnsi="Calibri" w:cs="Times New Roman"/>
                <w:color w:val="000000"/>
                <w:lang w:eastAsia="hr-HR"/>
              </w:rPr>
              <w:t>Modernizirano je sučelje, aplikacija prilagođena različitim tipovima uređaja (</w:t>
            </w:r>
            <w:proofErr w:type="spellStart"/>
            <w:r w:rsidR="00EE7C08" w:rsidRPr="0033148D">
              <w:rPr>
                <w:rFonts w:ascii="Calibri" w:eastAsia="Times New Roman" w:hAnsi="Calibri" w:cs="Times New Roman"/>
                <w:color w:val="000000"/>
                <w:lang w:eastAsia="hr-HR"/>
              </w:rPr>
              <w:t>responzivni</w:t>
            </w:r>
            <w:proofErr w:type="spellEnd"/>
            <w:r w:rsidR="00EE7C08" w:rsidRPr="0033148D">
              <w:rPr>
                <w:rFonts w:ascii="Calibri" w:eastAsia="Times New Roman" w:hAnsi="Calibri" w:cs="Times New Roman"/>
                <w:color w:val="000000"/>
                <w:lang w:eastAsia="hr-HR"/>
              </w:rPr>
              <w:t xml:space="preserve"> dizajn). Sustav je prilagođen standardu razvoja e-usluga, integriran s Nacionalnim identifikacijskim i </w:t>
            </w:r>
            <w:proofErr w:type="spellStart"/>
            <w:r w:rsidR="00EE7C08" w:rsidRPr="0033148D">
              <w:rPr>
                <w:rFonts w:ascii="Calibri" w:eastAsia="Times New Roman" w:hAnsi="Calibri" w:cs="Times New Roman"/>
                <w:color w:val="000000"/>
                <w:lang w:eastAsia="hr-HR"/>
              </w:rPr>
              <w:t>autentifikacijskim</w:t>
            </w:r>
            <w:proofErr w:type="spellEnd"/>
            <w:r w:rsidR="00EE7C08" w:rsidRPr="0033148D">
              <w:rPr>
                <w:rFonts w:ascii="Calibri" w:eastAsia="Times New Roman" w:hAnsi="Calibri" w:cs="Times New Roman"/>
                <w:color w:val="000000"/>
                <w:lang w:eastAsia="hr-HR"/>
              </w:rPr>
              <w:t xml:space="preserve"> sustavom (NIAS). </w:t>
            </w:r>
            <w:r w:rsidRPr="0033148D">
              <w:rPr>
                <w:rFonts w:ascii="Calibri" w:eastAsia="Times New Roman" w:hAnsi="Calibri" w:cs="Times New Roman"/>
                <w:color w:val="000000"/>
                <w:lang w:eastAsia="hr-HR"/>
              </w:rPr>
              <w:t xml:space="preserve">Sustav </w:t>
            </w:r>
            <w:r w:rsidR="00EE7C08" w:rsidRPr="0033148D">
              <w:rPr>
                <w:rFonts w:ascii="Calibri" w:eastAsia="Times New Roman" w:hAnsi="Calibri" w:cs="Times New Roman"/>
                <w:color w:val="000000"/>
                <w:lang w:eastAsia="hr-HR"/>
              </w:rPr>
              <w:t xml:space="preserve">e-Savjetovanja testiran je putem pilot projekata s odabranim jedinicama lokalne i područne (regionalne) samouprave i zatim </w:t>
            </w:r>
            <w:r w:rsidRPr="0033148D">
              <w:rPr>
                <w:rFonts w:ascii="Calibri" w:eastAsia="Times New Roman" w:hAnsi="Calibri" w:cs="Times New Roman"/>
                <w:color w:val="000000"/>
                <w:lang w:eastAsia="hr-HR"/>
              </w:rPr>
              <w:t>prilagođen jedinicama lokalne i područne (regionalne) samouprave.</w:t>
            </w:r>
            <w:r w:rsidR="00EE7C08" w:rsidRPr="0033148D">
              <w:rPr>
                <w:rFonts w:ascii="Calibri" w:eastAsia="Times New Roman" w:hAnsi="Calibri" w:cs="Times New Roman"/>
                <w:color w:val="000000"/>
                <w:lang w:eastAsia="hr-HR"/>
              </w:rPr>
              <w:t xml:space="preserve"> Kao rezultat, sustav e-Savjetovanja proširen je </w:t>
            </w:r>
            <w:r w:rsidR="001E2846">
              <w:rPr>
                <w:rFonts w:ascii="Calibri" w:eastAsia="Times New Roman" w:hAnsi="Calibri" w:cs="Times New Roman"/>
                <w:color w:val="000000"/>
                <w:lang w:eastAsia="hr-HR"/>
              </w:rPr>
              <w:t xml:space="preserve">za korištenje </w:t>
            </w:r>
            <w:r w:rsidR="00EE7C08" w:rsidRPr="0033148D">
              <w:rPr>
                <w:rFonts w:ascii="Calibri" w:eastAsia="Times New Roman" w:hAnsi="Calibri" w:cs="Times New Roman"/>
                <w:color w:val="000000"/>
                <w:lang w:eastAsia="hr-HR"/>
              </w:rPr>
              <w:t>na jedinice lokalne i područne (regionalne) samouprave.</w:t>
            </w:r>
          </w:p>
        </w:tc>
      </w:tr>
      <w:tr w:rsidR="0086194D" w:rsidRPr="0033148D" w14:paraId="03ADE157" w14:textId="77777777" w:rsidTr="00612DAA">
        <w:trPr>
          <w:trHeight w:val="949"/>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028791" w14:textId="73B0D0E1"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C17AF54" w14:textId="381D9432" w:rsidR="0086194D" w:rsidRPr="0033148D" w:rsidRDefault="00EE7C08" w:rsidP="00612DAA">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w:t>
            </w:r>
            <w:r w:rsidR="0086194D" w:rsidRPr="0033148D">
              <w:rPr>
                <w:rFonts w:ascii="Calibri" w:eastAsia="Times New Roman" w:hAnsi="Calibri" w:cs="Times New Roman"/>
                <w:color w:val="000000"/>
                <w:lang w:eastAsia="hr-HR"/>
              </w:rPr>
              <w:t>ortal e-Savjetovanja od veljače 2024. godine postaje usluga u sklopu sustava e-Građani te se prijava u aplikaciju vrši putem NIAS</w:t>
            </w:r>
            <w:r w:rsidR="00612DAA">
              <w:rPr>
                <w:rFonts w:ascii="Calibri" w:eastAsia="Times New Roman" w:hAnsi="Calibri" w:cs="Times New Roman"/>
                <w:color w:val="000000"/>
                <w:lang w:eastAsia="hr-HR"/>
              </w:rPr>
              <w:t>-a</w:t>
            </w:r>
            <w:r w:rsidR="0086194D" w:rsidRPr="0033148D">
              <w:rPr>
                <w:rFonts w:ascii="Calibri" w:eastAsia="Times New Roman" w:hAnsi="Calibri" w:cs="Times New Roman"/>
                <w:color w:val="000000"/>
                <w:lang w:eastAsia="hr-HR"/>
              </w:rPr>
              <w:t xml:space="preserve">. </w:t>
            </w:r>
            <w:r w:rsidRPr="0033148D">
              <w:rPr>
                <w:rFonts w:ascii="Calibri" w:eastAsia="Times New Roman" w:hAnsi="Calibri" w:cs="Times New Roman"/>
                <w:color w:val="000000"/>
                <w:lang w:eastAsia="hr-HR"/>
              </w:rPr>
              <w:t xml:space="preserve">Također </w:t>
            </w:r>
            <w:r w:rsidR="0086194D" w:rsidRPr="0033148D">
              <w:rPr>
                <w:rFonts w:ascii="Calibri" w:eastAsia="Times New Roman" w:hAnsi="Calibri" w:cs="Times New Roman"/>
                <w:color w:val="000000"/>
                <w:lang w:eastAsia="hr-HR"/>
              </w:rPr>
              <w:t xml:space="preserve">od veljače 2024. </w:t>
            </w:r>
            <w:r w:rsidRPr="0033148D">
              <w:rPr>
                <w:rFonts w:ascii="Calibri" w:eastAsia="Times New Roman" w:hAnsi="Calibri" w:cs="Times New Roman"/>
                <w:color w:val="000000"/>
                <w:lang w:eastAsia="hr-HR"/>
              </w:rPr>
              <w:t xml:space="preserve">jedinice lokalne i područne (regionalne) samouprave </w:t>
            </w:r>
            <w:r w:rsidR="0086194D" w:rsidRPr="0033148D">
              <w:rPr>
                <w:rFonts w:ascii="Calibri" w:eastAsia="Times New Roman" w:hAnsi="Calibri" w:cs="Times New Roman"/>
                <w:color w:val="000000"/>
                <w:lang w:eastAsia="hr-HR"/>
              </w:rPr>
              <w:t xml:space="preserve">svoja savjetovanja </w:t>
            </w:r>
            <w:r w:rsidRPr="0033148D">
              <w:rPr>
                <w:rFonts w:ascii="Calibri" w:eastAsia="Times New Roman" w:hAnsi="Calibri" w:cs="Times New Roman"/>
                <w:color w:val="000000"/>
                <w:lang w:eastAsia="hr-HR"/>
              </w:rPr>
              <w:t xml:space="preserve">mogu </w:t>
            </w:r>
            <w:r w:rsidR="0086194D" w:rsidRPr="0033148D">
              <w:rPr>
                <w:rFonts w:ascii="Calibri" w:eastAsia="Times New Roman" w:hAnsi="Calibri" w:cs="Times New Roman"/>
                <w:color w:val="000000"/>
                <w:lang w:eastAsia="hr-HR"/>
              </w:rPr>
              <w:t>provod</w:t>
            </w:r>
            <w:r w:rsidRPr="0033148D">
              <w:rPr>
                <w:rFonts w:ascii="Calibri" w:eastAsia="Times New Roman" w:hAnsi="Calibri" w:cs="Times New Roman"/>
                <w:color w:val="000000"/>
                <w:lang w:eastAsia="hr-HR"/>
              </w:rPr>
              <w:t>iti</w:t>
            </w:r>
            <w:r w:rsidR="0086194D" w:rsidRPr="0033148D">
              <w:rPr>
                <w:rFonts w:ascii="Calibri" w:eastAsia="Times New Roman" w:hAnsi="Calibri" w:cs="Times New Roman"/>
                <w:color w:val="000000"/>
                <w:lang w:eastAsia="hr-HR"/>
              </w:rPr>
              <w:t xml:space="preserve"> putem portala e-Savjetovanja.</w:t>
            </w:r>
          </w:p>
        </w:tc>
      </w:tr>
      <w:tr w:rsidR="0086194D" w:rsidRPr="0033148D" w14:paraId="09DD2853"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0AA8672" w14:textId="12380282" w:rsidR="0086194D" w:rsidRPr="0033148D" w:rsidRDefault="0086194D" w:rsidP="008925A4">
            <w:pPr>
              <w:spacing w:after="0" w:line="240" w:lineRule="auto"/>
              <w:rPr>
                <w:rFonts w:ascii="Calibri" w:eastAsia="Times New Roman" w:hAnsi="Calibri" w:cs="Times New Roman"/>
                <w:color w:val="000000"/>
                <w:lang w:eastAsia="hr-HR"/>
              </w:rPr>
            </w:pPr>
            <w:r w:rsidRPr="0033148D">
              <w:rPr>
                <w:b/>
                <w:bCs/>
                <w:lang w:eastAsia="hr-HR"/>
              </w:rPr>
              <w:t>Sljedeći koraci</w:t>
            </w:r>
            <w:r w:rsidR="008925A4">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8F493F6"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0460B779" w14:textId="77777777" w:rsidR="0086194D" w:rsidRPr="0033148D" w:rsidRDefault="0086194D" w:rsidP="0033148D">
      <w:pPr>
        <w:spacing w:line="240" w:lineRule="auto"/>
      </w:pPr>
    </w:p>
    <w:tbl>
      <w:tblPr>
        <w:tblW w:w="14596" w:type="dxa"/>
        <w:jc w:val="center"/>
        <w:tblLook w:val="04A0" w:firstRow="1" w:lastRow="0" w:firstColumn="1" w:lastColumn="0" w:noHBand="0" w:noVBand="1"/>
      </w:tblPr>
      <w:tblGrid>
        <w:gridCol w:w="1980"/>
        <w:gridCol w:w="2126"/>
        <w:gridCol w:w="2693"/>
        <w:gridCol w:w="2410"/>
        <w:gridCol w:w="2552"/>
        <w:gridCol w:w="2835"/>
      </w:tblGrid>
      <w:tr w:rsidR="0086194D" w:rsidRPr="0033148D" w14:paraId="0C332072" w14:textId="77777777" w:rsidTr="00F355E7">
        <w:trPr>
          <w:trHeight w:val="70"/>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2DDC7" w14:textId="0417B21A"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14.3 – Provoditi program edukacije o standardima savjetovanja sa zainteresiranom javnošću u postupcima donošenja zakona, drugih propisa i akata i radionica o korištenju sustava e-Savjetovanja</w:t>
            </w:r>
          </w:p>
        </w:tc>
      </w:tr>
      <w:tr w:rsidR="0086194D" w:rsidRPr="0033148D" w14:paraId="512DC4C6"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648145A" w14:textId="52D18105"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641B0EF"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zakonodavstvo, Središnji državni ured za razvoj digitalnog društva</w:t>
            </w:r>
          </w:p>
        </w:tc>
      </w:tr>
      <w:tr w:rsidR="0086194D" w:rsidRPr="0033148D" w14:paraId="42D4B52D"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AD28CC4" w14:textId="21E707E2"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A6F1710" w14:textId="1893D45F"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Državna škola za javnu upravu, Povjerenik za informiranje, Ured za udruge Vlade Republike Hrvatske</w:t>
            </w:r>
          </w:p>
        </w:tc>
      </w:tr>
      <w:tr w:rsidR="0086194D" w:rsidRPr="0033148D" w14:paraId="34EC7289" w14:textId="77777777" w:rsidTr="00BA2911">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5375C8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7E6B24A"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852A0B8" w14:textId="62785AEE"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4E27F6CA" w14:textId="77777777" w:rsidTr="00BA2911">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6DF2B461"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2FED970"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5E85C4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Radna skupina u sklopu projekta „e-Savjetovanja – proširenja, nadgradnje i unaprjeđenje zakonodavnih procesa savjetovanja s javnošću“ u kojoj su uz predstavnike tijela državne uprave i državnih tijela sudjelovali predstavnici lokalne i područne (regionalne) samouprave</w:t>
            </w:r>
          </w:p>
        </w:tc>
      </w:tr>
      <w:tr w:rsidR="0086194D" w:rsidRPr="0033148D" w14:paraId="30B49F0B"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8DBFF6E" w14:textId="63F411D8"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AE2FA99"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15. srpnja 2022. godine</w:t>
            </w:r>
          </w:p>
        </w:tc>
      </w:tr>
      <w:tr w:rsidR="0086194D" w:rsidRPr="0033148D" w14:paraId="021F1C8C"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B1AC478" w14:textId="51C53543"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CF019EA"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 prosinca 2023. godine</w:t>
            </w:r>
          </w:p>
        </w:tc>
      </w:tr>
      <w:tr w:rsidR="0086194D" w:rsidRPr="0033148D" w14:paraId="14288C44" w14:textId="77777777" w:rsidTr="00BA2911">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3B0D794" w14:textId="2C3BE009"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24B0C6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Edukacije o pripremi i provedbi savjetovanja s javnošću – 3 radionice godišnje; Edukacije o korištenju portala s-Savjetovanja – 6 edukacija godišnje; provedba edukacijskih programa putem ESF projekta</w:t>
            </w:r>
          </w:p>
        </w:tc>
      </w:tr>
      <w:tr w:rsidR="0086194D" w:rsidRPr="0033148D" w14:paraId="3F3AAF66" w14:textId="77777777" w:rsidTr="00BA2911">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E325B9D" w14:textId="5FBA9A55"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CF15F6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12E55280"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29AC3C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6567E5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6CD47382" w14:textId="77777777" w:rsidTr="00CD62F4">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9679EF5"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2749EF6D"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5A72FAF1"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0811E14C"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30FCC9BF"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6321159B" w14:textId="77777777" w:rsidTr="00BA2911">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D603B3D" w14:textId="42C4099A"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5FCD541F" w14:textId="77777777" w:rsidR="0086194D" w:rsidRPr="0033148D" w:rsidRDefault="0086194D"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Od siječnja 2023. godine radionica o provedbi savjetovanja u postupcima donošenja zakona, drugih propisa i akata i radionica o korištenju portala e-Savjetovanja objedinjena je u jednu radionicu pod nazivom „Savjetovanje s javnošću kao dio zakonodavnog postupka“.</w:t>
            </w:r>
          </w:p>
        </w:tc>
      </w:tr>
      <w:tr w:rsidR="0086194D" w:rsidRPr="0033148D" w14:paraId="1BF71912" w14:textId="77777777" w:rsidTr="00EE7C08">
        <w:trPr>
          <w:trHeight w:val="84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746CE2D" w14:textId="0C98AB5A" w:rsidR="0086194D" w:rsidRPr="0033148D" w:rsidRDefault="0086194D" w:rsidP="008925A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2605948" w14:textId="77777777" w:rsidR="003F0C7E" w:rsidRPr="0033148D" w:rsidRDefault="0086194D" w:rsidP="007A4029">
            <w:pPr>
              <w:spacing w:after="12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 xml:space="preserve">Kroz radionicu </w:t>
            </w:r>
            <w:r w:rsidR="00736FC0" w:rsidRPr="0033148D">
              <w:rPr>
                <w:rFonts w:ascii="Calibri" w:eastAsia="Times New Roman" w:hAnsi="Calibri" w:cs="Times New Roman"/>
                <w:color w:val="000000"/>
                <w:lang w:eastAsia="hr-HR"/>
              </w:rPr>
              <w:t xml:space="preserve">o pripremi i provedbi savjetovanja s javnošću </w:t>
            </w:r>
            <w:r w:rsidRPr="0033148D">
              <w:rPr>
                <w:rFonts w:ascii="Calibri" w:eastAsia="Times New Roman" w:hAnsi="Calibri" w:cs="Times New Roman"/>
                <w:bCs/>
                <w:color w:val="000000"/>
                <w:lang w:eastAsia="hr-HR"/>
              </w:rPr>
              <w:t>polaznike se informira o metodama savjetovanja i alatima za praktičnu primjenu u provedbi Kodeksa savjetovanja sa zainteresiranom javnošću u oblikovanju zakona, drugih propisa i akata i Zakona o pravu na pristup informacijama</w:t>
            </w:r>
            <w:r w:rsidR="00736FC0" w:rsidRPr="0033148D">
              <w:rPr>
                <w:rFonts w:ascii="Calibri" w:eastAsia="Times New Roman" w:hAnsi="Calibri" w:cs="Times New Roman"/>
                <w:bCs/>
                <w:color w:val="000000"/>
                <w:lang w:eastAsia="hr-HR"/>
              </w:rPr>
              <w:t>,</w:t>
            </w:r>
            <w:r w:rsidRPr="0033148D">
              <w:rPr>
                <w:rFonts w:ascii="Calibri" w:eastAsia="Times New Roman" w:hAnsi="Calibri" w:cs="Times New Roman"/>
                <w:bCs/>
                <w:color w:val="000000"/>
                <w:lang w:eastAsia="hr-HR"/>
              </w:rPr>
              <w:t xml:space="preserve"> </w:t>
            </w:r>
            <w:r w:rsidR="00736FC0" w:rsidRPr="0033148D">
              <w:rPr>
                <w:rFonts w:ascii="Calibri" w:eastAsia="Times New Roman" w:hAnsi="Calibri" w:cs="Times New Roman"/>
                <w:bCs/>
                <w:color w:val="000000"/>
                <w:lang w:eastAsia="hr-HR"/>
              </w:rPr>
              <w:t>č</w:t>
            </w:r>
            <w:r w:rsidRPr="0033148D">
              <w:rPr>
                <w:rFonts w:ascii="Calibri" w:eastAsia="Times New Roman" w:hAnsi="Calibri" w:cs="Times New Roman"/>
                <w:bCs/>
                <w:color w:val="000000"/>
                <w:lang w:eastAsia="hr-HR"/>
              </w:rPr>
              <w:t xml:space="preserve">ime </w:t>
            </w:r>
            <w:r w:rsidR="00736FC0" w:rsidRPr="0033148D">
              <w:rPr>
                <w:rFonts w:ascii="Calibri" w:eastAsia="Times New Roman" w:hAnsi="Calibri" w:cs="Times New Roman"/>
                <w:bCs/>
                <w:color w:val="000000"/>
                <w:lang w:eastAsia="hr-HR"/>
              </w:rPr>
              <w:t xml:space="preserve">se </w:t>
            </w:r>
            <w:r w:rsidRPr="0033148D">
              <w:rPr>
                <w:rFonts w:ascii="Calibri" w:eastAsia="Times New Roman" w:hAnsi="Calibri" w:cs="Times New Roman"/>
                <w:bCs/>
                <w:color w:val="000000"/>
                <w:lang w:eastAsia="hr-HR"/>
              </w:rPr>
              <w:t xml:space="preserve">unapređuje praksa savjetovanja sa zainteresiranom javnošću u oblikovanju javnih politika. U suradnji s Državnom školom za javnu upravu i Uredom povjerenika za informiranje održane su 3 radionice za 29 polaznika u 2022. godini. </w:t>
            </w:r>
            <w:r w:rsidR="00EE7C08" w:rsidRPr="0033148D">
              <w:rPr>
                <w:rFonts w:ascii="Calibri" w:eastAsia="Times New Roman" w:hAnsi="Calibri" w:cs="Times New Roman"/>
                <w:bCs/>
                <w:color w:val="000000"/>
                <w:lang w:eastAsia="hr-HR"/>
              </w:rPr>
              <w:t xml:space="preserve">Tijekom </w:t>
            </w:r>
            <w:r w:rsidRPr="0033148D">
              <w:rPr>
                <w:rFonts w:ascii="Calibri" w:eastAsia="Times New Roman" w:hAnsi="Calibri" w:cs="Times New Roman"/>
                <w:bCs/>
                <w:color w:val="000000"/>
                <w:lang w:eastAsia="hr-HR"/>
              </w:rPr>
              <w:t xml:space="preserve">2023. godine </w:t>
            </w:r>
            <w:r w:rsidR="00EE7C08" w:rsidRPr="0033148D">
              <w:rPr>
                <w:rFonts w:ascii="Calibri" w:eastAsia="Times New Roman" w:hAnsi="Calibri" w:cs="Times New Roman"/>
                <w:bCs/>
                <w:color w:val="000000"/>
                <w:lang w:eastAsia="hr-HR"/>
              </w:rPr>
              <w:t xml:space="preserve">radionicu su </w:t>
            </w:r>
            <w:r w:rsidRPr="0033148D">
              <w:rPr>
                <w:rFonts w:ascii="Calibri" w:eastAsia="Times New Roman" w:hAnsi="Calibri" w:cs="Times New Roman"/>
                <w:bCs/>
                <w:color w:val="000000"/>
                <w:lang w:eastAsia="hr-HR"/>
              </w:rPr>
              <w:t xml:space="preserve">zajednički držali </w:t>
            </w:r>
            <w:r w:rsidRPr="0033148D">
              <w:rPr>
                <w:rFonts w:ascii="Calibri" w:eastAsia="Times New Roman" w:hAnsi="Calibri" w:cs="Times New Roman"/>
                <w:color w:val="000000"/>
                <w:lang w:eastAsia="hr-HR"/>
              </w:rPr>
              <w:t xml:space="preserve">Ured za zakonodavstvo i Središnji državni ured za razvoj digitalnog društva. U 2023. godini održano je sedam (7) radionica pod nazivom </w:t>
            </w:r>
            <w:r w:rsidR="00736FC0" w:rsidRPr="0033148D">
              <w:rPr>
                <w:rFonts w:ascii="Calibri" w:eastAsia="Times New Roman" w:hAnsi="Calibri" w:cs="Times New Roman"/>
                <w:color w:val="000000"/>
                <w:lang w:eastAsia="hr-HR"/>
              </w:rPr>
              <w:t>„</w:t>
            </w:r>
            <w:r w:rsidRPr="0033148D">
              <w:rPr>
                <w:rFonts w:ascii="Calibri" w:eastAsia="Times New Roman" w:hAnsi="Calibri" w:cs="Times New Roman"/>
                <w:bCs/>
                <w:color w:val="000000"/>
                <w:lang w:eastAsia="hr-HR"/>
              </w:rPr>
              <w:t>Savjetovanje s javnošću kao dio zakonodavnog postupka“ na kojima je sudjelovalo ukupno 94 polaznika.</w:t>
            </w:r>
            <w:r w:rsidR="003F0C7E" w:rsidRPr="0033148D">
              <w:rPr>
                <w:rFonts w:ascii="Calibri" w:eastAsia="Times New Roman" w:hAnsi="Calibri" w:cs="Times New Roman"/>
                <w:bCs/>
                <w:color w:val="000000"/>
                <w:lang w:eastAsia="hr-HR"/>
              </w:rPr>
              <w:t xml:space="preserve"> </w:t>
            </w:r>
          </w:p>
          <w:p w14:paraId="054DFD32" w14:textId="77777777" w:rsidR="003F0C7E" w:rsidRPr="0033148D" w:rsidRDefault="00736FC0" w:rsidP="007A4029">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 xml:space="preserve">Također, </w:t>
            </w:r>
            <w:r w:rsidR="003F0C7E" w:rsidRPr="0033148D">
              <w:rPr>
                <w:rFonts w:ascii="Calibri" w:eastAsia="Times New Roman" w:hAnsi="Calibri" w:cs="Times New Roman"/>
                <w:color w:val="000000"/>
                <w:lang w:eastAsia="hr-HR"/>
              </w:rPr>
              <w:t xml:space="preserve">kroz projekt </w:t>
            </w:r>
            <w:r w:rsidRPr="0033148D">
              <w:rPr>
                <w:rFonts w:ascii="Calibri" w:eastAsia="Times New Roman" w:hAnsi="Calibri" w:cs="Times New Roman"/>
                <w:color w:val="000000"/>
                <w:lang w:eastAsia="hr-HR"/>
              </w:rPr>
              <w:t xml:space="preserve">„e-Savjetovanja – proširenja, nadgradnje i unaprjeđenje zakonodavnih procesa savjetovanja s javnošću“ </w:t>
            </w:r>
            <w:r w:rsidR="006821D6" w:rsidRPr="0033148D">
              <w:rPr>
                <w:rFonts w:ascii="Calibri" w:eastAsia="Times New Roman" w:hAnsi="Calibri" w:cs="Times New Roman"/>
                <w:color w:val="000000"/>
                <w:lang w:eastAsia="hr-HR"/>
              </w:rPr>
              <w:t xml:space="preserve">financiran kroz Europski socijalni fond (ESF) </w:t>
            </w:r>
            <w:r w:rsidRPr="0033148D">
              <w:rPr>
                <w:rFonts w:ascii="Calibri" w:eastAsia="Times New Roman" w:hAnsi="Calibri" w:cs="Times New Roman"/>
                <w:color w:val="000000"/>
                <w:lang w:eastAsia="hr-HR"/>
              </w:rPr>
              <w:t xml:space="preserve">SDURDD je </w:t>
            </w:r>
            <w:r w:rsidR="003F0C7E" w:rsidRPr="0033148D">
              <w:rPr>
                <w:rFonts w:ascii="Calibri" w:eastAsia="Times New Roman" w:hAnsi="Calibri" w:cs="Times New Roman"/>
                <w:color w:val="000000"/>
                <w:lang w:eastAsia="hr-HR"/>
              </w:rPr>
              <w:t>proveo</w:t>
            </w:r>
            <w:r w:rsidRPr="0033148D">
              <w:rPr>
                <w:rFonts w:ascii="Calibri" w:eastAsia="Times New Roman" w:hAnsi="Calibri" w:cs="Times New Roman"/>
                <w:color w:val="000000"/>
                <w:lang w:eastAsia="hr-HR"/>
              </w:rPr>
              <w:t xml:space="preserve"> 8 edukacijskih programa</w:t>
            </w:r>
            <w:r w:rsidR="003F0C7E" w:rsidRPr="0033148D">
              <w:rPr>
                <w:rFonts w:ascii="Calibri" w:eastAsia="Times New Roman" w:hAnsi="Calibri" w:cs="Times New Roman"/>
                <w:color w:val="000000"/>
                <w:lang w:eastAsia="hr-HR"/>
              </w:rPr>
              <w:t xml:space="preserve"> na kojima je ukupno bilo 400 polaznika</w:t>
            </w:r>
            <w:r w:rsidRPr="0033148D">
              <w:rPr>
                <w:rFonts w:ascii="Calibri" w:eastAsia="Times New Roman" w:hAnsi="Calibri" w:cs="Times New Roman"/>
                <w:color w:val="000000"/>
                <w:lang w:eastAsia="hr-HR"/>
              </w:rPr>
              <w:t>.</w:t>
            </w:r>
          </w:p>
        </w:tc>
      </w:tr>
      <w:tr w:rsidR="0086194D" w:rsidRPr="0033148D" w14:paraId="07C491CD"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EBA4C8B" w14:textId="4B600516"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175FD7" w14:textId="352AF361"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2520BD0"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1B1A1F05" w14:textId="433C2B6C" w:rsidR="0086194D" w:rsidRPr="0033148D" w:rsidRDefault="0086194D" w:rsidP="008925A4">
            <w:pPr>
              <w:spacing w:line="240" w:lineRule="auto"/>
              <w:rPr>
                <w:rFonts w:ascii="Calibri" w:eastAsia="Times New Roman" w:hAnsi="Calibri" w:cs="Times New Roman"/>
                <w:color w:val="000000"/>
                <w:lang w:eastAsia="hr-HR"/>
              </w:rPr>
            </w:pPr>
            <w:r w:rsidRPr="0033148D">
              <w:rPr>
                <w:b/>
                <w:bCs/>
                <w:lang w:eastAsia="hr-HR"/>
              </w:rPr>
              <w:t>Sljedeći koraci</w:t>
            </w:r>
            <w:r w:rsidR="008925A4">
              <w:rPr>
                <w:b/>
                <w:bCs/>
                <w:lang w:eastAsia="hr-HR"/>
              </w:rPr>
              <w:t>:</w:t>
            </w:r>
            <w:r w:rsidRPr="0033148D">
              <w:rPr>
                <w:b/>
                <w:bCs/>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24C979"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Edukacije će se i u idućem razdoblju nastaviti kontinuirano održavati u okviru Državne škole za javnu upravu,</w:t>
            </w:r>
          </w:p>
        </w:tc>
      </w:tr>
    </w:tbl>
    <w:p w14:paraId="409BF0C5" w14:textId="77777777" w:rsidR="0086194D" w:rsidRPr="0033148D" w:rsidRDefault="0086194D" w:rsidP="0033148D">
      <w:pPr>
        <w:spacing w:line="240" w:lineRule="auto"/>
      </w:pPr>
    </w:p>
    <w:tbl>
      <w:tblPr>
        <w:tblW w:w="14709" w:type="dxa"/>
        <w:jc w:val="center"/>
        <w:tblLook w:val="04A0" w:firstRow="1" w:lastRow="0" w:firstColumn="1" w:lastColumn="0" w:noHBand="0" w:noVBand="1"/>
      </w:tblPr>
      <w:tblGrid>
        <w:gridCol w:w="2093"/>
        <w:gridCol w:w="2126"/>
        <w:gridCol w:w="2693"/>
        <w:gridCol w:w="2410"/>
        <w:gridCol w:w="2552"/>
        <w:gridCol w:w="2835"/>
      </w:tblGrid>
      <w:tr w:rsidR="0086194D" w:rsidRPr="0033148D" w14:paraId="453CED1C" w14:textId="77777777" w:rsidTr="00F355E7">
        <w:trPr>
          <w:trHeight w:val="70"/>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4B47D" w14:textId="025E37BF"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14.4. Provesti promotivnu kampanju za građane o e-Savjetovanjima</w:t>
            </w:r>
          </w:p>
        </w:tc>
      </w:tr>
      <w:tr w:rsidR="0086194D" w:rsidRPr="0033148D" w14:paraId="1469C67A" w14:textId="77777777" w:rsidTr="00BA2911">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C8D5901" w14:textId="7323E690"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59C422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p w14:paraId="16A35E6A" w14:textId="77777777" w:rsidR="0086194D" w:rsidRPr="0033148D" w:rsidRDefault="0086194D" w:rsidP="0033148D">
            <w:pPr>
              <w:pStyle w:val="Default"/>
              <w:rPr>
                <w:sz w:val="22"/>
                <w:szCs w:val="22"/>
              </w:rPr>
            </w:pPr>
            <w:r w:rsidRPr="0033148D">
              <w:rPr>
                <w:rFonts w:ascii="Calibri" w:eastAsia="Times New Roman" w:hAnsi="Calibri" w:cs="Times New Roman"/>
                <w:sz w:val="22"/>
                <w:szCs w:val="22"/>
                <w:lang w:eastAsia="hr-HR"/>
              </w:rPr>
              <w:t>Ured za zakonodavstvo</w:t>
            </w:r>
            <w:r w:rsidRPr="0033148D">
              <w:rPr>
                <w:sz w:val="22"/>
                <w:szCs w:val="22"/>
              </w:rPr>
              <w:t xml:space="preserve"> </w:t>
            </w:r>
          </w:p>
        </w:tc>
      </w:tr>
      <w:tr w:rsidR="0086194D" w:rsidRPr="0033148D" w14:paraId="4280A434" w14:textId="77777777" w:rsidTr="003D5951">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58AA3E8" w14:textId="5F09B9A2" w:rsidR="0086194D" w:rsidRPr="0033148D" w:rsidRDefault="0086194D"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w:t>
            </w:r>
            <w:r w:rsidR="00C543F8" w:rsidRPr="0033148D">
              <w:rPr>
                <w:rFonts w:ascii="Calibri" w:eastAsia="Times New Roman" w:hAnsi="Calibri" w:cs="Times New Roman"/>
                <w:b/>
                <w:bCs/>
                <w:color w:val="000000"/>
                <w:lang w:eastAsia="hr-HR"/>
              </w:rPr>
              <w:t>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2BEF318" w14:textId="15A70697"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36649148" w14:textId="77777777" w:rsidTr="00BA2911">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C28397A"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0E31EE5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C90499B" w14:textId="1375CEF0"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11DB4AFB" w14:textId="77777777" w:rsidTr="00BA2911">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4B26460E"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165A6B3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5CF040E" w14:textId="143D36C6"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5EA2E48D" w14:textId="77777777" w:rsidTr="008925A4">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5500CBE" w14:textId="4C50800C"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B058A99"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tijeku</w:t>
            </w:r>
          </w:p>
        </w:tc>
      </w:tr>
      <w:tr w:rsidR="0086194D" w:rsidRPr="0033148D" w14:paraId="43E8A4E3" w14:textId="77777777" w:rsidTr="008925A4">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DC5ABC7" w14:textId="76F5B63B"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35BCD88" w14:textId="769B120C" w:rsidR="0086194D" w:rsidRPr="0033148D" w:rsidRDefault="00FD18AC"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w:t>
            </w:r>
            <w:r w:rsidR="0086194D" w:rsidRPr="0033148D">
              <w:rPr>
                <w:rFonts w:ascii="Calibri" w:eastAsia="Times New Roman" w:hAnsi="Calibri" w:cs="Times New Roman"/>
                <w:color w:val="000000"/>
                <w:lang w:eastAsia="hr-HR"/>
              </w:rPr>
              <w:t xml:space="preserve"> 2023.</w:t>
            </w:r>
          </w:p>
        </w:tc>
      </w:tr>
      <w:tr w:rsidR="0086194D" w:rsidRPr="0033148D" w14:paraId="569BCE35" w14:textId="77777777" w:rsidTr="00BB6F05">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ABF43" w14:textId="05E60319"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268587C" w14:textId="77777777" w:rsidR="0086194D" w:rsidRPr="0033148D" w:rsidRDefault="0086194D" w:rsidP="0033148D">
            <w:pPr>
              <w:pStyle w:val="ListParagraph"/>
              <w:numPr>
                <w:ilvl w:val="0"/>
                <w:numId w:val="25"/>
              </w:numPr>
              <w:spacing w:line="240" w:lineRule="auto"/>
              <w:rPr>
                <w:rFonts w:cstheme="minorHAnsi"/>
              </w:rPr>
            </w:pPr>
            <w:r w:rsidRPr="0033148D">
              <w:rPr>
                <w:rFonts w:cstheme="minorHAnsi"/>
              </w:rPr>
              <w:t>izrađen promidžbeni i video sadržaj</w:t>
            </w:r>
          </w:p>
          <w:p w14:paraId="28178383" w14:textId="77777777" w:rsidR="00BB6F05" w:rsidRPr="0033148D" w:rsidRDefault="0086194D" w:rsidP="0033148D">
            <w:pPr>
              <w:pStyle w:val="ListParagraph"/>
              <w:numPr>
                <w:ilvl w:val="0"/>
                <w:numId w:val="25"/>
              </w:numPr>
              <w:spacing w:line="240" w:lineRule="auto"/>
              <w:rPr>
                <w:rFonts w:cstheme="minorHAnsi"/>
              </w:rPr>
            </w:pPr>
            <w:r w:rsidRPr="0033148D">
              <w:rPr>
                <w:rFonts w:cstheme="minorHAnsi"/>
              </w:rPr>
              <w:t>izrađeni promidžbeni materijali</w:t>
            </w:r>
          </w:p>
          <w:p w14:paraId="291CF2D0" w14:textId="77777777" w:rsidR="0086194D" w:rsidRPr="0033148D" w:rsidRDefault="00BB6F05" w:rsidP="0033148D">
            <w:pPr>
              <w:pStyle w:val="ListParagraph"/>
              <w:numPr>
                <w:ilvl w:val="0"/>
                <w:numId w:val="25"/>
              </w:numPr>
              <w:spacing w:line="240" w:lineRule="auto"/>
              <w:rPr>
                <w:rFonts w:cstheme="minorHAnsi"/>
              </w:rPr>
            </w:pPr>
            <w:r w:rsidRPr="0033148D">
              <w:rPr>
                <w:rFonts w:cstheme="minorHAnsi"/>
              </w:rPr>
              <w:t>održana početna i završna konferencija</w:t>
            </w:r>
          </w:p>
        </w:tc>
      </w:tr>
      <w:tr w:rsidR="0086194D" w:rsidRPr="0033148D" w14:paraId="61FB5CEB" w14:textId="77777777" w:rsidTr="00BA2911">
        <w:trPr>
          <w:trHeight w:val="718"/>
          <w:jc w:val="center"/>
        </w:trPr>
        <w:tc>
          <w:tcPr>
            <w:tcW w:w="421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302522E" w14:textId="44C1A892"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1796C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6300825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259473C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4B2B94E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352D2F45" w14:textId="77777777" w:rsidTr="00CD62F4">
        <w:trPr>
          <w:trHeight w:val="642"/>
          <w:jc w:val="center"/>
        </w:trPr>
        <w:tc>
          <w:tcPr>
            <w:tcW w:w="4219" w:type="dxa"/>
            <w:gridSpan w:val="2"/>
            <w:vMerge/>
            <w:tcBorders>
              <w:top w:val="single" w:sz="4" w:space="0" w:color="auto"/>
              <w:left w:val="single" w:sz="4" w:space="0" w:color="auto"/>
              <w:bottom w:val="single" w:sz="4" w:space="0" w:color="000000"/>
              <w:right w:val="single" w:sz="4" w:space="0" w:color="000000"/>
            </w:tcBorders>
            <w:vAlign w:val="center"/>
            <w:hideMark/>
          </w:tcPr>
          <w:p w14:paraId="032893C4"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46B98B5D"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57243B5D"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240641B1"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1F12F427"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1DC980D0" w14:textId="77777777" w:rsidTr="008925A4">
        <w:trPr>
          <w:trHeight w:val="431"/>
          <w:jc w:val="center"/>
        </w:trPr>
        <w:tc>
          <w:tcPr>
            <w:tcW w:w="421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17B3F43" w14:textId="1149C196"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1036B4F9" w14:textId="446F1983"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6943FE96" w14:textId="77777777" w:rsidTr="008925A4">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65F628F" w14:textId="4BE8BCFA" w:rsidR="0086194D" w:rsidRPr="0033148D" w:rsidRDefault="0086194D" w:rsidP="008925A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454EE3A" w14:textId="3AA6A234" w:rsidR="0086194D" w:rsidRPr="0033148D" w:rsidRDefault="0086194D" w:rsidP="001E2846">
            <w:pPr>
              <w:spacing w:line="240" w:lineRule="auto"/>
              <w:rPr>
                <w:rFonts w:eastAsia="Times New Roman" w:cstheme="minorHAnsi"/>
                <w:color w:val="000000"/>
              </w:rPr>
            </w:pPr>
            <w:r w:rsidRPr="0033148D">
              <w:rPr>
                <w:rFonts w:cstheme="minorHAnsi"/>
                <w:color w:val="000000"/>
              </w:rPr>
              <w:t>U sklopu projekta "e-Savjetovanja“</w:t>
            </w:r>
            <w:r w:rsidR="001E2846">
              <w:rPr>
                <w:rFonts w:cstheme="minorHAnsi"/>
                <w:color w:val="000000"/>
              </w:rPr>
              <w:t>-</w:t>
            </w:r>
            <w:r w:rsidRPr="0033148D">
              <w:rPr>
                <w:rFonts w:cstheme="minorHAnsi"/>
                <w:color w:val="000000"/>
              </w:rPr>
              <w:t xml:space="preserve"> proširenja, nadgradnje i unaprjeđenje zakonodavnih procesa savjetovanja s javnošću provedena je promidžbena kampanja na Facebooku, LinkedInu, stranicama SDURDD-a.</w:t>
            </w:r>
          </w:p>
        </w:tc>
      </w:tr>
      <w:tr w:rsidR="0086194D" w:rsidRPr="0033148D" w14:paraId="2184A265" w14:textId="77777777" w:rsidTr="008925A4">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B049204" w14:textId="73BFEE79"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62773A" w14:textId="10793D29"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821A11E" w14:textId="77777777" w:rsidTr="008925A4">
        <w:trPr>
          <w:trHeight w:val="431"/>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7856CA9D" w14:textId="561A3047" w:rsidR="0086194D" w:rsidRPr="0033148D" w:rsidRDefault="0086194D" w:rsidP="008925A4">
            <w:pPr>
              <w:spacing w:line="240" w:lineRule="auto"/>
              <w:rPr>
                <w:rFonts w:ascii="Calibri" w:eastAsia="Times New Roman" w:hAnsi="Calibri" w:cs="Times New Roman"/>
                <w:color w:val="000000"/>
                <w:lang w:eastAsia="hr-HR"/>
              </w:rPr>
            </w:pPr>
            <w:r w:rsidRPr="0033148D">
              <w:rPr>
                <w:b/>
                <w:bCs/>
                <w:lang w:eastAsia="hr-HR"/>
              </w:rPr>
              <w:t>Sljedeći koraci</w:t>
            </w:r>
            <w:r w:rsidR="008925A4">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4A7E5A4" w14:textId="791075D1"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74EAD1F2" w14:textId="77777777" w:rsidR="0086194D" w:rsidRPr="0033148D" w:rsidRDefault="0086194D" w:rsidP="0033148D">
      <w:pPr>
        <w:spacing w:line="240" w:lineRule="auto"/>
      </w:pPr>
    </w:p>
    <w:tbl>
      <w:tblPr>
        <w:tblW w:w="14737" w:type="dxa"/>
        <w:jc w:val="center"/>
        <w:tblLook w:val="04A0" w:firstRow="1" w:lastRow="0" w:firstColumn="1" w:lastColumn="0" w:noHBand="0" w:noVBand="1"/>
      </w:tblPr>
      <w:tblGrid>
        <w:gridCol w:w="1980"/>
        <w:gridCol w:w="2126"/>
        <w:gridCol w:w="2693"/>
        <w:gridCol w:w="2552"/>
        <w:gridCol w:w="2410"/>
        <w:gridCol w:w="2976"/>
      </w:tblGrid>
      <w:tr w:rsidR="0086194D" w:rsidRPr="0033148D" w14:paraId="48575620" w14:textId="77777777" w:rsidTr="00F355E7">
        <w:trPr>
          <w:trHeight w:val="70"/>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D9AC5" w14:textId="62F8049B"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 xml:space="preserve">14.5 – Kontinuirano ažurirati bazu podataka o sastavima radnih skupina za izradu nacrta zakona, drugih propisa i akata te povjerenstava i radnih tijela (uključujući i ona u kojima sudjeluju organizacije civilnog društva i ostali predstavnici zainteresirane javnosti) u sklopu savjetovanja.gov.hr </w:t>
            </w:r>
          </w:p>
        </w:tc>
      </w:tr>
      <w:tr w:rsidR="0086194D" w:rsidRPr="0033148D" w14:paraId="03D534DC"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FFACF68" w14:textId="0CDBA9BB"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Nositel</w:t>
            </w:r>
            <w:r w:rsidR="00C543F8" w:rsidRPr="0033148D">
              <w:rPr>
                <w:rFonts w:ascii="Calibri" w:eastAsia="Times New Roman" w:hAnsi="Calibri" w:cs="Times New Roman"/>
                <w:b/>
                <w:bCs/>
                <w:color w:val="000000"/>
                <w:lang w:eastAsia="hr-HR"/>
              </w:rPr>
              <w:t xml:space="preserve">j aktivnosti: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3F39CDB"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zakonodavstvo</w:t>
            </w:r>
          </w:p>
        </w:tc>
      </w:tr>
      <w:tr w:rsidR="0086194D" w:rsidRPr="0033148D" w14:paraId="033D2A84"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645331D" w14:textId="5BA5DD67"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57C6DDF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tc>
      </w:tr>
      <w:tr w:rsidR="0086194D" w:rsidRPr="0033148D" w14:paraId="7CBAECE3" w14:textId="77777777" w:rsidTr="00541718">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C94B3C3"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FC1275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400E3959" w14:textId="7B98B67B"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1B9B2C85" w14:textId="77777777" w:rsidTr="00541718">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2A1EAD56"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75EC933B"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0FD93A38" w14:textId="236E80DB"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59B33A6D"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1D50D2" w14:textId="3421F330"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5FB2640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15. srpnja 2023. godine</w:t>
            </w:r>
          </w:p>
        </w:tc>
      </w:tr>
      <w:tr w:rsidR="0086194D" w:rsidRPr="0033148D" w14:paraId="1AFB9238"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0F9C350" w14:textId="354A13E6"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18C6BAD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 prosinca 2023. godine</w:t>
            </w:r>
          </w:p>
        </w:tc>
      </w:tr>
      <w:tr w:rsidR="0086194D" w:rsidRPr="0033148D" w14:paraId="1E8E8E87" w14:textId="77777777" w:rsidTr="00541718">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D91C420" w14:textId="4726CD97"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7C1DCEA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Provedeno široko savjetovanje u suradnji sa Savjetom za razvoj civilnog društva s organizacijama civilnog društva o ciljevima i sadržaju Kodeksa; Usvojen novi Kodeks savjetovanja sa zainteresiranom javnošću u postupcima donošenja zakona, drugih propisa i akata; Revidirane Smjernice za primjenu Kodeksa savjetovanja sa zainteresiranom javnošću u postupcima donošenja zakona, drugih propisa i akata</w:t>
            </w:r>
          </w:p>
        </w:tc>
      </w:tr>
      <w:tr w:rsidR="0086194D" w:rsidRPr="0033148D" w14:paraId="71942DAF" w14:textId="77777777" w:rsidTr="00541718">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AD51579" w14:textId="3548CEF3"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BA5687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3A6AA0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2BD68D5D"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6" w:type="dxa"/>
            <w:tcBorders>
              <w:top w:val="single" w:sz="4" w:space="0" w:color="auto"/>
              <w:left w:val="nil"/>
              <w:bottom w:val="single" w:sz="4" w:space="0" w:color="auto"/>
              <w:right w:val="single" w:sz="4" w:space="0" w:color="auto"/>
            </w:tcBorders>
            <w:shd w:val="clear" w:color="000000" w:fill="F2F2F2"/>
            <w:vAlign w:val="center"/>
            <w:hideMark/>
          </w:tcPr>
          <w:p w14:paraId="60F9FE0D"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5F1543DF" w14:textId="77777777" w:rsidTr="00541718">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5CA9812B"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6DCD2C5B"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F7CAAC" w:themeFill="accent2" w:themeFillTint="66"/>
            <w:noWrap/>
            <w:vAlign w:val="center"/>
            <w:hideMark/>
          </w:tcPr>
          <w:p w14:paraId="732B81D0"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410" w:type="dxa"/>
            <w:tcBorders>
              <w:top w:val="nil"/>
              <w:left w:val="nil"/>
              <w:bottom w:val="single" w:sz="4" w:space="0" w:color="auto"/>
              <w:right w:val="single" w:sz="4" w:space="0" w:color="auto"/>
            </w:tcBorders>
            <w:shd w:val="clear" w:color="auto" w:fill="auto"/>
            <w:noWrap/>
            <w:vAlign w:val="center"/>
            <w:hideMark/>
          </w:tcPr>
          <w:p w14:paraId="671FF1FC"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976" w:type="dxa"/>
            <w:tcBorders>
              <w:top w:val="nil"/>
              <w:left w:val="nil"/>
              <w:bottom w:val="single" w:sz="4" w:space="0" w:color="auto"/>
              <w:right w:val="single" w:sz="4" w:space="0" w:color="auto"/>
            </w:tcBorders>
            <w:shd w:val="clear" w:color="auto" w:fill="auto"/>
            <w:noWrap/>
            <w:vAlign w:val="center"/>
            <w:hideMark/>
          </w:tcPr>
          <w:p w14:paraId="4F934044"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r>
      <w:tr w:rsidR="0086194D" w:rsidRPr="0033148D" w14:paraId="22DD6645" w14:textId="77777777" w:rsidTr="008925A4">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DD9B3AD" w14:textId="60DDBCC9"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631" w:type="dxa"/>
            <w:gridSpan w:val="4"/>
            <w:tcBorders>
              <w:top w:val="nil"/>
              <w:left w:val="nil"/>
              <w:bottom w:val="single" w:sz="4" w:space="0" w:color="auto"/>
              <w:right w:val="single" w:sz="4" w:space="0" w:color="auto"/>
            </w:tcBorders>
            <w:shd w:val="clear" w:color="auto" w:fill="auto"/>
            <w:noWrap/>
            <w:vAlign w:val="center"/>
          </w:tcPr>
          <w:p w14:paraId="33CEE2BE" w14:textId="1FB0CA26"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75787212" w14:textId="77777777" w:rsidTr="008925A4">
        <w:trPr>
          <w:trHeight w:val="1186"/>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A93757" w14:textId="1AF2004C" w:rsidR="0086194D" w:rsidRPr="0033148D" w:rsidRDefault="0086194D" w:rsidP="008925A4">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BCC904" w14:textId="5CEB22BC" w:rsidR="0086194D" w:rsidRPr="0033148D" w:rsidRDefault="0086194D" w:rsidP="0033148D">
            <w:pPr>
              <w:spacing w:after="0" w:line="240" w:lineRule="auto"/>
              <w:rPr>
                <w:rFonts w:ascii="Calibri" w:eastAsia="Times New Roman" w:hAnsi="Calibri" w:cs="Times New Roman"/>
                <w:color w:val="000000"/>
                <w:lang w:eastAsia="hr-HR"/>
              </w:rPr>
            </w:pPr>
            <w:proofErr w:type="spellStart"/>
            <w:r w:rsidRPr="0033148D">
              <w:rPr>
                <w:rFonts w:ascii="Calibri" w:eastAsia="Times New Roman" w:hAnsi="Calibri" w:cs="Times New Roman"/>
                <w:color w:val="000000"/>
                <w:lang w:eastAsia="hr-HR"/>
              </w:rPr>
              <w:t>Podstranica</w:t>
            </w:r>
            <w:proofErr w:type="spellEnd"/>
            <w:r w:rsidRPr="0033148D">
              <w:rPr>
                <w:rFonts w:ascii="Calibri" w:eastAsia="Times New Roman" w:hAnsi="Calibri" w:cs="Times New Roman"/>
                <w:color w:val="000000"/>
                <w:lang w:eastAsia="hr-HR"/>
              </w:rPr>
              <w:t xml:space="preserve"> „Baza savjetodavnih tijela“ nalazi se u sklopu portala savjetovanja.gov.hr te je putem iste moguće pretraživati stalna i povremena (ad </w:t>
            </w:r>
            <w:proofErr w:type="spellStart"/>
            <w:r w:rsidRPr="0033148D">
              <w:rPr>
                <w:rFonts w:ascii="Calibri" w:eastAsia="Times New Roman" w:hAnsi="Calibri" w:cs="Times New Roman"/>
                <w:color w:val="000000"/>
                <w:lang w:eastAsia="hr-HR"/>
              </w:rPr>
              <w:t>hoc</w:t>
            </w:r>
            <w:proofErr w:type="spellEnd"/>
            <w:r w:rsidRPr="0033148D">
              <w:rPr>
                <w:rFonts w:ascii="Calibri" w:eastAsia="Times New Roman" w:hAnsi="Calibri" w:cs="Times New Roman"/>
                <w:color w:val="000000"/>
                <w:lang w:eastAsia="hr-HR"/>
              </w:rPr>
              <w:t>) radna i savjetodavna tijela državnih tijela. Podatke je moguće pretraživati prema državnom tijelu, vrsti savjetodavnog tijela</w:t>
            </w:r>
            <w:r w:rsidR="001E2846">
              <w:rPr>
                <w:rFonts w:ascii="Calibri" w:eastAsia="Times New Roman" w:hAnsi="Calibri" w:cs="Times New Roman"/>
                <w:color w:val="000000"/>
                <w:lang w:eastAsia="hr-HR"/>
              </w:rPr>
              <w:t>,</w:t>
            </w:r>
            <w:r w:rsidRPr="0033148D">
              <w:rPr>
                <w:rFonts w:ascii="Calibri" w:eastAsia="Times New Roman" w:hAnsi="Calibri" w:cs="Times New Roman"/>
                <w:color w:val="000000"/>
                <w:lang w:eastAsia="hr-HR"/>
              </w:rPr>
              <w:t xml:space="preserve"> </w:t>
            </w:r>
            <w:r w:rsidR="001E2846">
              <w:rPr>
                <w:rFonts w:ascii="Calibri" w:eastAsia="Times New Roman" w:hAnsi="Calibri" w:cs="Times New Roman"/>
                <w:color w:val="000000"/>
                <w:lang w:eastAsia="hr-HR"/>
              </w:rPr>
              <w:t>i</w:t>
            </w:r>
            <w:r w:rsidRPr="0033148D">
              <w:rPr>
                <w:rFonts w:ascii="Calibri" w:eastAsia="Times New Roman" w:hAnsi="Calibri" w:cs="Times New Roman"/>
                <w:color w:val="000000"/>
                <w:lang w:eastAsia="hr-HR"/>
              </w:rPr>
              <w:t xml:space="preserve">menu i prezimenu člana te prema instituciji/organizaciji iz koje dolazi. </w:t>
            </w:r>
            <w:proofErr w:type="spellStart"/>
            <w:r w:rsidRPr="0033148D">
              <w:rPr>
                <w:rFonts w:ascii="Calibri" w:eastAsia="Times New Roman" w:hAnsi="Calibri" w:cs="Times New Roman"/>
                <w:color w:val="000000"/>
                <w:lang w:eastAsia="hr-HR"/>
              </w:rPr>
              <w:t>Podstranica</w:t>
            </w:r>
            <w:proofErr w:type="spellEnd"/>
            <w:r w:rsidRPr="0033148D">
              <w:rPr>
                <w:rFonts w:ascii="Calibri" w:eastAsia="Times New Roman" w:hAnsi="Calibri" w:cs="Times New Roman"/>
                <w:color w:val="000000"/>
                <w:lang w:eastAsia="hr-HR"/>
              </w:rPr>
              <w:t xml:space="preserve"> se ažurira sukladno dostavljenim očitovanjima državnih tijela.</w:t>
            </w:r>
          </w:p>
        </w:tc>
      </w:tr>
      <w:tr w:rsidR="0086194D" w:rsidRPr="0033148D" w14:paraId="6E5EC525"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7980C1B" w14:textId="43A0678E" w:rsidR="0086194D" w:rsidRPr="0033148D" w:rsidRDefault="0086194D" w:rsidP="008925A4">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r w:rsidRPr="0033148D">
              <w:rPr>
                <w:rFonts w:ascii="Calibri" w:eastAsia="Times New Roman" w:hAnsi="Calibri" w:cs="Times New Roman"/>
                <w:color w:val="000000"/>
                <w:lang w:eastAsia="hr-HR"/>
              </w:rPr>
              <w:t xml:space="preserve">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F154757" w14:textId="7F16E6FF"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5A2854EA" w14:textId="77777777" w:rsidTr="00541718">
        <w:trPr>
          <w:trHeight w:val="848"/>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4BE160D" w14:textId="1AC6785C" w:rsidR="0086194D" w:rsidRPr="0033148D" w:rsidRDefault="0086194D" w:rsidP="008925A4">
            <w:pPr>
              <w:spacing w:line="240" w:lineRule="auto"/>
              <w:rPr>
                <w:rFonts w:ascii="Calibri" w:eastAsia="Times New Roman" w:hAnsi="Calibri" w:cs="Times New Roman"/>
                <w:color w:val="000000"/>
                <w:lang w:eastAsia="hr-HR"/>
              </w:rPr>
            </w:pPr>
            <w:r w:rsidRPr="0033148D">
              <w:rPr>
                <w:b/>
                <w:bCs/>
                <w:lang w:eastAsia="hr-HR"/>
              </w:rPr>
              <w:t xml:space="preserve">Sljedeći koraci </w:t>
            </w:r>
            <w:r w:rsidR="008925A4">
              <w:rPr>
                <w:b/>
                <w:bCs/>
                <w:lang w:eastAsia="hr-HR"/>
              </w:rPr>
              <w:t>:</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60C312" w14:textId="2AC3DA3D" w:rsidR="0086194D" w:rsidRPr="0033148D" w:rsidRDefault="0086194D" w:rsidP="00E915C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 okviru Uredbe o metodologiji i postupku provedbe instrumenata politike boljih propisa, koja </w:t>
            </w:r>
            <w:r w:rsidR="001E2846">
              <w:rPr>
                <w:rFonts w:ascii="Calibri" w:eastAsia="Times New Roman" w:hAnsi="Calibri" w:cs="Times New Roman"/>
                <w:color w:val="000000"/>
                <w:lang w:eastAsia="hr-HR"/>
              </w:rPr>
              <w:t>je</w:t>
            </w:r>
            <w:r w:rsidRPr="0033148D">
              <w:rPr>
                <w:rFonts w:ascii="Calibri" w:eastAsia="Times New Roman" w:hAnsi="Calibri" w:cs="Times New Roman"/>
                <w:color w:val="000000"/>
                <w:lang w:eastAsia="hr-HR"/>
              </w:rPr>
              <w:t xml:space="preserve"> stupi</w:t>
            </w:r>
            <w:r w:rsidR="001E2846">
              <w:rPr>
                <w:rFonts w:ascii="Calibri" w:eastAsia="Times New Roman" w:hAnsi="Calibri" w:cs="Times New Roman"/>
                <w:color w:val="000000"/>
                <w:lang w:eastAsia="hr-HR"/>
              </w:rPr>
              <w:t>la</w:t>
            </w:r>
            <w:r w:rsidRPr="0033148D">
              <w:rPr>
                <w:rFonts w:ascii="Calibri" w:eastAsia="Times New Roman" w:hAnsi="Calibri" w:cs="Times New Roman"/>
                <w:color w:val="000000"/>
                <w:lang w:eastAsia="hr-HR"/>
              </w:rPr>
              <w:t xml:space="preserve"> na snagu u veljači 2024. godine, obvezuju se stručni nositelji da podatke o sastavu savjetodavnih tijela i radnih skupina za izradu zakona i drugih propisa dostavljaju Uredu za zakonodavstvo, u prvom tromjesečju tekuće godine za prethodnu kalendarsku godinu, radi objave u „Bazi savjetodavnih tijela“.</w:t>
            </w:r>
          </w:p>
        </w:tc>
      </w:tr>
    </w:tbl>
    <w:p w14:paraId="584E8ADE" w14:textId="77777777" w:rsidR="0086194D" w:rsidRPr="0033148D" w:rsidRDefault="0086194D" w:rsidP="0033148D">
      <w:pPr>
        <w:spacing w:line="240" w:lineRule="auto"/>
      </w:pPr>
    </w:p>
    <w:p w14:paraId="58325C23" w14:textId="77777777" w:rsidR="0086194D" w:rsidRPr="0091246B" w:rsidRDefault="0086194D" w:rsidP="00267611">
      <w:pPr>
        <w:pStyle w:val="Heading2"/>
        <w:rPr>
          <w:b/>
        </w:rPr>
      </w:pPr>
      <w:bookmarkStart w:id="34" w:name="_Toc183591334"/>
      <w:r w:rsidRPr="0091246B">
        <w:rPr>
          <w:b/>
        </w:rPr>
        <w:t>E - PARTNERSTVO ZA OTVORENU VLAST NA LOKALNOJ I PODRUČNOJ (REGIONALNOJ) RAZINI</w:t>
      </w:r>
      <w:bookmarkEnd w:id="34"/>
    </w:p>
    <w:p w14:paraId="1F057D5D" w14:textId="77777777" w:rsidR="0086194D" w:rsidRPr="007A4029" w:rsidRDefault="0086194D" w:rsidP="00267611">
      <w:pPr>
        <w:pStyle w:val="Heading3"/>
      </w:pPr>
      <w:bookmarkStart w:id="35" w:name="_Toc183591335"/>
      <w:r w:rsidRPr="007A4029">
        <w:t>MJERA 15 - POTICANJE PROVEDBE INICIJATIVE PARTNERSTVO ZA OTVORENU VLAST NA LOKALNIM RAZINAMA</w:t>
      </w:r>
      <w:bookmarkEnd w:id="35"/>
    </w:p>
    <w:tbl>
      <w:tblPr>
        <w:tblW w:w="14737" w:type="dxa"/>
        <w:jc w:val="center"/>
        <w:tblLook w:val="04A0" w:firstRow="1" w:lastRow="0" w:firstColumn="1" w:lastColumn="0" w:noHBand="0" w:noVBand="1"/>
      </w:tblPr>
      <w:tblGrid>
        <w:gridCol w:w="1980"/>
        <w:gridCol w:w="2126"/>
        <w:gridCol w:w="2693"/>
        <w:gridCol w:w="2410"/>
        <w:gridCol w:w="2552"/>
        <w:gridCol w:w="2976"/>
      </w:tblGrid>
      <w:tr w:rsidR="0086194D" w:rsidRPr="0033148D" w14:paraId="5899E534" w14:textId="77777777" w:rsidTr="00ED3A66">
        <w:trPr>
          <w:trHeight w:val="70"/>
          <w:jc w:val="center"/>
        </w:trPr>
        <w:tc>
          <w:tcPr>
            <w:tcW w:w="1473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43AEE8" w14:textId="6394B74D"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b/>
              </w:rPr>
              <w:t>15.1 - Provoditi edukacije o inicijativi Partnerstvo za otvorenu vlast za predstavnike jedinica lokalne i područne (regionalne) samouprave</w:t>
            </w:r>
          </w:p>
        </w:tc>
      </w:tr>
      <w:tr w:rsidR="0086194D" w:rsidRPr="0033148D" w14:paraId="695287BD" w14:textId="77777777" w:rsidTr="00ED3A66">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6B17053" w14:textId="4118829F"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02F1557"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Ured za udruge Vlade Republike Hrvatske, Središnji državni ured za razvoj digitalnog društva, Savjet Inicijative Partnerstvo za otvorenu vlast</w:t>
            </w:r>
          </w:p>
        </w:tc>
      </w:tr>
      <w:tr w:rsidR="0086194D" w:rsidRPr="0033148D" w14:paraId="6113CA80" w14:textId="77777777" w:rsidTr="008925A4">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F56AABF" w14:textId="73B2D8DD" w:rsidR="0086194D" w:rsidRPr="0033148D" w:rsidRDefault="0086194D"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w:t>
            </w:r>
            <w:r w:rsidR="00C543F8" w:rsidRPr="0033148D">
              <w:rPr>
                <w:rFonts w:ascii="Calibri" w:eastAsia="Times New Roman" w:hAnsi="Calibri" w:cs="Times New Roman"/>
                <w:b/>
                <w:bCs/>
                <w:color w:val="000000"/>
                <w:lang w:eastAsia="hr-HR"/>
              </w:rPr>
              <w:t>osti:</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6AE1520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t>Hrvatska zajednica županija, Udruga gradova u Republici Hrvatskoj, Hrvatska zajednica općina</w:t>
            </w:r>
          </w:p>
        </w:tc>
      </w:tr>
      <w:tr w:rsidR="0086194D" w:rsidRPr="0033148D" w14:paraId="3626FCD5" w14:textId="77777777" w:rsidTr="00ED3A66">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F4C7E1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48F3B23"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45DC7951" w14:textId="64C02477"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72B01350" w14:textId="77777777" w:rsidTr="00ED3A66">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10BE3A25"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6CC94AD8"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01494386" w14:textId="2DF8FE78"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16BD9D38"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0803C18" w14:textId="275A1109"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328E436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 siječnja 2022. godine</w:t>
            </w:r>
          </w:p>
        </w:tc>
      </w:tr>
      <w:tr w:rsidR="0086194D" w:rsidRPr="0033148D" w14:paraId="5725F750"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E118994" w14:textId="1C04BB62"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51D7996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 prosinca 2023. godine</w:t>
            </w:r>
          </w:p>
        </w:tc>
      </w:tr>
      <w:tr w:rsidR="0086194D" w:rsidRPr="0033148D" w14:paraId="205D9FCE" w14:textId="77777777" w:rsidTr="00ED3A66">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31A4B77" w14:textId="5346B8FC"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tcPr>
          <w:p w14:paraId="52CDF9AF" w14:textId="7C9566C1" w:rsidR="00457788" w:rsidRPr="0033148D" w:rsidRDefault="00457788" w:rsidP="0033148D">
            <w:pPr>
              <w:pStyle w:val="ListParagraph"/>
              <w:numPr>
                <w:ilvl w:val="0"/>
                <w:numId w:val="26"/>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Održano </w:t>
            </w:r>
            <w:r w:rsidR="008C493B">
              <w:rPr>
                <w:rFonts w:ascii="Calibri" w:eastAsia="Times New Roman" w:hAnsi="Calibri" w:cs="Times New Roman"/>
                <w:color w:val="000000"/>
                <w:lang w:eastAsia="hr-HR"/>
              </w:rPr>
              <w:t>jedno</w:t>
            </w:r>
            <w:r w:rsidRPr="0033148D">
              <w:rPr>
                <w:rFonts w:ascii="Calibri" w:eastAsia="Times New Roman" w:hAnsi="Calibri" w:cs="Times New Roman"/>
                <w:color w:val="000000"/>
                <w:lang w:eastAsia="hr-HR"/>
              </w:rPr>
              <w:t xml:space="preserve"> predstavljanje godišnje inicijative Partnerstvo za otvorenu vlast općinama, gradovima i županijama</w:t>
            </w:r>
          </w:p>
          <w:p w14:paraId="42F08651" w14:textId="0A93F73F" w:rsidR="0086194D" w:rsidRPr="0033148D" w:rsidRDefault="00457788" w:rsidP="008C493B">
            <w:pPr>
              <w:pStyle w:val="ListParagraph"/>
              <w:numPr>
                <w:ilvl w:val="0"/>
                <w:numId w:val="26"/>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lastRenderedPageBreak/>
              <w:t xml:space="preserve">Održana </w:t>
            </w:r>
            <w:r w:rsidR="008C493B">
              <w:rPr>
                <w:rFonts w:ascii="Calibri" w:eastAsia="Times New Roman" w:hAnsi="Calibri" w:cs="Times New Roman"/>
                <w:color w:val="000000"/>
                <w:lang w:eastAsia="hr-HR"/>
              </w:rPr>
              <w:t>jedna</w:t>
            </w:r>
            <w:r w:rsidRPr="0033148D">
              <w:rPr>
                <w:rFonts w:ascii="Calibri" w:eastAsia="Times New Roman" w:hAnsi="Calibri" w:cs="Times New Roman"/>
                <w:color w:val="000000"/>
                <w:lang w:eastAsia="hr-HR"/>
              </w:rPr>
              <w:t xml:space="preserve"> edukacija godišnje o izradi akcijskih planova za predstavnike jedinica lokalne i područne (regionalne) samouprave</w:t>
            </w:r>
          </w:p>
        </w:tc>
      </w:tr>
      <w:tr w:rsidR="0086194D" w:rsidRPr="0033148D" w14:paraId="131ADCC1" w14:textId="77777777" w:rsidTr="00ED3A66">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A77EFFF" w14:textId="11FFADB3"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3EC4E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3114C5C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4F3764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976" w:type="dxa"/>
            <w:tcBorders>
              <w:top w:val="single" w:sz="4" w:space="0" w:color="auto"/>
              <w:left w:val="nil"/>
              <w:bottom w:val="single" w:sz="4" w:space="0" w:color="auto"/>
              <w:right w:val="single" w:sz="4" w:space="0" w:color="auto"/>
            </w:tcBorders>
            <w:shd w:val="clear" w:color="000000" w:fill="F2F2F2"/>
            <w:vAlign w:val="center"/>
            <w:hideMark/>
          </w:tcPr>
          <w:p w14:paraId="0B0D2A4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6AF86B50" w14:textId="77777777" w:rsidTr="007A4029">
        <w:trPr>
          <w:trHeight w:val="642"/>
          <w:jc w:val="center"/>
        </w:trPr>
        <w:tc>
          <w:tcPr>
            <w:tcW w:w="4106" w:type="dxa"/>
            <w:gridSpan w:val="2"/>
            <w:vMerge/>
            <w:tcBorders>
              <w:top w:val="single" w:sz="4" w:space="0" w:color="auto"/>
              <w:left w:val="single" w:sz="4" w:space="0" w:color="auto"/>
              <w:bottom w:val="single" w:sz="4" w:space="0" w:color="auto"/>
              <w:right w:val="single" w:sz="4" w:space="0" w:color="000000"/>
            </w:tcBorders>
            <w:vAlign w:val="center"/>
            <w:hideMark/>
          </w:tcPr>
          <w:p w14:paraId="08938320"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1E1A2025"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6B4FE3C9"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FFE599" w:themeFill="accent4" w:themeFillTint="66"/>
            <w:noWrap/>
            <w:vAlign w:val="center"/>
            <w:hideMark/>
          </w:tcPr>
          <w:p w14:paraId="72E286A2"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976" w:type="dxa"/>
            <w:tcBorders>
              <w:top w:val="nil"/>
              <w:left w:val="nil"/>
              <w:bottom w:val="single" w:sz="4" w:space="0" w:color="auto"/>
              <w:right w:val="single" w:sz="4" w:space="0" w:color="auto"/>
            </w:tcBorders>
            <w:shd w:val="clear" w:color="auto" w:fill="auto"/>
            <w:noWrap/>
            <w:vAlign w:val="center"/>
            <w:hideMark/>
          </w:tcPr>
          <w:p w14:paraId="7753F55A"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r>
      <w:tr w:rsidR="0086194D" w:rsidRPr="0033148D" w14:paraId="5850F891" w14:textId="77777777" w:rsidTr="007A4029">
        <w:trPr>
          <w:trHeight w:val="642"/>
          <w:jc w:val="center"/>
        </w:trPr>
        <w:tc>
          <w:tcPr>
            <w:tcW w:w="410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39D260" w14:textId="623709A2"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63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0487F85" w14:textId="5380CD3E"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47CD27AD" w14:textId="77777777" w:rsidTr="007A4029">
        <w:trPr>
          <w:trHeight w:val="1273"/>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55CB80E" w14:textId="7264F61B" w:rsidR="0086194D" w:rsidRPr="0033148D" w:rsidRDefault="0086194D" w:rsidP="00D2743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B24C03C" w14:textId="77777777" w:rsidR="008C493B" w:rsidRDefault="0086194D" w:rsidP="008C493B">
            <w:pPr>
              <w:spacing w:after="120" w:line="240" w:lineRule="auto"/>
              <w:rPr>
                <w:rFonts w:cstheme="minorHAnsi"/>
                <w:bCs/>
                <w:color w:val="181717"/>
              </w:rPr>
            </w:pPr>
            <w:r w:rsidRPr="0033148D">
              <w:rPr>
                <w:rFonts w:cstheme="minorHAnsi"/>
                <w:bCs/>
                <w:color w:val="181717"/>
              </w:rPr>
              <w:t xml:space="preserve">Ured za udruge Vlade Republike Hrvatske nastavio je poticati predstavnike lokalnih vlasti da se uključe u inicijativu Partnerstvo za otvorenu vlast. U prosincu 2022. i 2023. godine organizirana su javna događanja na temu Otvorene lokalne vlasti. na kojima su sudjelovali i predstavnici Savjeta te na kojima su predstavljeni primjeri uspješnih lokalnih jedinica. </w:t>
            </w:r>
          </w:p>
          <w:p w14:paraId="2BADEAA0" w14:textId="78E382FB" w:rsidR="008C493B" w:rsidRDefault="0086194D" w:rsidP="008C493B">
            <w:pPr>
              <w:spacing w:after="120" w:line="240" w:lineRule="auto"/>
              <w:rPr>
                <w:rFonts w:cstheme="minorHAnsi"/>
                <w:color w:val="424242"/>
                <w:shd w:val="clear" w:color="auto" w:fill="FFFFFF"/>
              </w:rPr>
            </w:pPr>
            <w:r w:rsidRPr="0033148D">
              <w:rPr>
                <w:rFonts w:cstheme="minorHAnsi"/>
                <w:bCs/>
                <w:color w:val="181717"/>
              </w:rPr>
              <w:t>Na k</w:t>
            </w:r>
            <w:r w:rsidRPr="0033148D">
              <w:rPr>
                <w:rFonts w:cstheme="minorHAnsi"/>
                <w:color w:val="424242"/>
                <w:shd w:val="clear" w:color="auto" w:fill="FFFFFF"/>
              </w:rPr>
              <w:t>onferenciji „Otvorena lokalna vlast – izazovi i prilike“ održanoj 14. prosinca 2022., José María Marín, viši programski savjetnik za program Otvorene lokalne vlasti, predstavio je načine i prednosti uključivanja lokalnih i/ili područnih jedinica u globalnu zajednicu Partnerstva za otvorenu vlast. Središnji državni ured za razvoj digitalnog društva predstavio je projekt uspostave sustava za provedbu savjetovanja za lokalne i područne jedinice koji će biti integriran u već postojeći sustav „e-Savjetovanja“, osmišljen kroz Akcijski plan POV-a. Gradovi Pakrac i Rab također predstavili su svoje napore participativnog planiranja i otvaranja gradskih proračuna prema građanima, a europski primjeri uključili su Grad Tiranu te platformu „</w:t>
            </w:r>
            <w:proofErr w:type="spellStart"/>
            <w:r w:rsidRPr="0033148D">
              <w:rPr>
                <w:rFonts w:cstheme="minorHAnsi"/>
                <w:color w:val="424242"/>
                <w:shd w:val="clear" w:color="auto" w:fill="FFFFFF"/>
              </w:rPr>
              <w:t>Decide</w:t>
            </w:r>
            <w:proofErr w:type="spellEnd"/>
            <w:r w:rsidRPr="0033148D">
              <w:rPr>
                <w:rFonts w:cstheme="minorHAnsi"/>
                <w:color w:val="424242"/>
                <w:shd w:val="clear" w:color="auto" w:fill="FFFFFF"/>
              </w:rPr>
              <w:t xml:space="preserve"> Madrid“, gradskog vijeća grada Madrida koja omogućuje sudjelovanje javnosti u donošenju odluka. Prikazano je i nekoliko video primjera iz svijeta (Buenos Aires u Argentini, </w:t>
            </w:r>
            <w:proofErr w:type="spellStart"/>
            <w:r w:rsidRPr="0033148D">
              <w:rPr>
                <w:rFonts w:cstheme="minorHAnsi"/>
                <w:color w:val="424242"/>
                <w:shd w:val="clear" w:color="auto" w:fill="FFFFFF"/>
              </w:rPr>
              <w:t>Austin</w:t>
            </w:r>
            <w:proofErr w:type="spellEnd"/>
            <w:r w:rsidRPr="0033148D">
              <w:rPr>
                <w:rFonts w:cstheme="minorHAnsi"/>
                <w:color w:val="424242"/>
                <w:shd w:val="clear" w:color="auto" w:fill="FFFFFF"/>
              </w:rPr>
              <w:t xml:space="preserve"> u Sjedinjenim Američkim Državama te Kaduna iz Nigerije), koji su poslužili kao inspiracija lokalnim i područnim jedinicama iz Hrvatske za korištenje inovativnih metoda participativne demokracije u kojoj građani odlučuju kako raspodijeliti dio javnog proračuna ili (su)kreiraju javne politike. </w:t>
            </w:r>
          </w:p>
          <w:p w14:paraId="410DC1B6" w14:textId="50C188E7" w:rsidR="0086194D" w:rsidRPr="0033148D" w:rsidRDefault="0086194D" w:rsidP="008C493B">
            <w:pPr>
              <w:spacing w:after="120" w:line="240" w:lineRule="auto"/>
              <w:rPr>
                <w:rFonts w:cstheme="minorHAnsi"/>
                <w:bCs/>
                <w:color w:val="181717"/>
              </w:rPr>
            </w:pPr>
            <w:r w:rsidRPr="0033148D">
              <w:rPr>
                <w:rFonts w:cstheme="minorHAnsi"/>
                <w:color w:val="424242"/>
                <w:shd w:val="clear" w:color="auto" w:fill="FFFFFF"/>
              </w:rPr>
              <w:t xml:space="preserve">Na konferenciji „Otvorena vlast u Hrvatskoj – pogled u budućnost“ održanoj 19. prosinca 2023., José María Marín iz programa Otvorene lokalne vlasti predstavio je primjere dobre prakse uključivanja lokalnih jedinica te otvoreni natječaj za uključivanje jedinica lokalne samouprave u POV inicijativu. </w:t>
            </w:r>
            <w:r w:rsidRPr="0033148D">
              <w:rPr>
                <w:rFonts w:cstheme="minorHAnsi"/>
                <w:bCs/>
                <w:color w:val="181717"/>
              </w:rPr>
              <w:t xml:space="preserve">Sve informacije podijeljene su na internetskim stranicama Ureda te proširene kroz komunikacijske kanale. Na poziv je zaprimljena prijava iz Hrvatske, te je u travnju 2024. godine Grad Zagreb kao prva lokalna jedinica iz Hrvatske, uz partnersku podršku udruge Gong, izabran za člana programa Otvorene lokalne vlasti (OGP </w:t>
            </w:r>
            <w:proofErr w:type="spellStart"/>
            <w:r w:rsidRPr="0033148D">
              <w:rPr>
                <w:rFonts w:cstheme="minorHAnsi"/>
                <w:bCs/>
                <w:color w:val="181717"/>
              </w:rPr>
              <w:t>Local</w:t>
            </w:r>
            <w:proofErr w:type="spellEnd"/>
            <w:r w:rsidRPr="0033148D">
              <w:rPr>
                <w:rFonts w:cstheme="minorHAnsi"/>
                <w:bCs/>
                <w:color w:val="181717"/>
              </w:rPr>
              <w:t>).</w:t>
            </w:r>
          </w:p>
        </w:tc>
      </w:tr>
      <w:tr w:rsidR="0086194D" w:rsidRPr="0033148D" w14:paraId="61351664"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614DACD" w14:textId="5BAAB51E"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91AB8ED" w14:textId="5A5DB0B6"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16AAE3ED"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CA8E04E" w14:textId="7B654B2A" w:rsidR="0086194D" w:rsidRPr="0033148D" w:rsidRDefault="0086194D" w:rsidP="00D27439">
            <w:pPr>
              <w:spacing w:line="240" w:lineRule="auto"/>
              <w:rPr>
                <w:rFonts w:ascii="Calibri" w:eastAsia="Times New Roman" w:hAnsi="Calibri" w:cs="Times New Roman"/>
                <w:color w:val="000000"/>
                <w:lang w:eastAsia="hr-HR"/>
              </w:rPr>
            </w:pPr>
            <w:r w:rsidRPr="0033148D">
              <w:rPr>
                <w:b/>
                <w:bCs/>
                <w:lang w:eastAsia="hr-HR"/>
              </w:rPr>
              <w:t>Sljedeći koraci</w:t>
            </w:r>
            <w:r w:rsidR="00D27439">
              <w:rPr>
                <w:b/>
                <w:bCs/>
                <w:lang w:eastAsia="hr-HR"/>
              </w:rPr>
              <w:t>:</w:t>
            </w:r>
          </w:p>
        </w:tc>
        <w:tc>
          <w:tcPr>
            <w:tcW w:w="1063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B1F259" w14:textId="74E7F43C"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34F6B94A" w14:textId="77777777" w:rsidR="0086194D" w:rsidRPr="0033148D" w:rsidRDefault="0086194D" w:rsidP="0033148D">
      <w:pPr>
        <w:spacing w:line="240" w:lineRule="auto"/>
        <w:rPr>
          <w:b/>
        </w:rPr>
      </w:pPr>
    </w:p>
    <w:tbl>
      <w:tblPr>
        <w:tblW w:w="14596" w:type="dxa"/>
        <w:jc w:val="center"/>
        <w:tblLook w:val="04A0" w:firstRow="1" w:lastRow="0" w:firstColumn="1" w:lastColumn="0" w:noHBand="0" w:noVBand="1"/>
      </w:tblPr>
      <w:tblGrid>
        <w:gridCol w:w="1980"/>
        <w:gridCol w:w="2126"/>
        <w:gridCol w:w="2693"/>
        <w:gridCol w:w="2410"/>
        <w:gridCol w:w="2552"/>
        <w:gridCol w:w="2835"/>
      </w:tblGrid>
      <w:tr w:rsidR="0086194D" w:rsidRPr="0033148D" w14:paraId="35AE477A" w14:textId="77777777" w:rsidTr="00F355E7">
        <w:trPr>
          <w:trHeight w:val="70"/>
          <w:jc w:val="center"/>
        </w:trPr>
        <w:tc>
          <w:tcPr>
            <w:tcW w:w="1459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2B4978" w14:textId="4A6B18FB"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lastRenderedPageBreak/>
              <w:t xml:space="preserve">Aktivnost </w:t>
            </w:r>
            <w:r w:rsidR="0086194D" w:rsidRPr="0033148D">
              <w:rPr>
                <w:b/>
              </w:rPr>
              <w:t>15.2 - Pokrenuti gradske portale otvorenih podataka</w:t>
            </w:r>
          </w:p>
        </w:tc>
      </w:tr>
      <w:tr w:rsidR="0086194D" w:rsidRPr="0033148D" w14:paraId="7A79F3F6" w14:textId="77777777" w:rsidTr="00BA2911">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B7DAB0" w14:textId="1549DE49"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Nositelji</w:t>
            </w:r>
            <w:r w:rsidR="00C543F8" w:rsidRPr="0033148D">
              <w:rPr>
                <w:rFonts w:ascii="Calibri" w:eastAsia="Times New Roman" w:hAnsi="Calibri" w:cs="Times New Roman"/>
                <w:b/>
                <w:bCs/>
                <w:color w:val="000000"/>
                <w:lang w:eastAsia="hr-HR"/>
              </w:rPr>
              <w:t xml:space="preserve">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44D7479"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lang w:eastAsia="hr-HR"/>
              </w:rPr>
              <w:t>Ured za udruge Vlade Republike Hrvatske, Središnji državni ured za razvoj digitalnog društva, Savjet Inicijative Partnerstvo za otvorenu vlast</w:t>
            </w:r>
          </w:p>
        </w:tc>
      </w:tr>
      <w:tr w:rsidR="0086194D" w:rsidRPr="0033148D" w14:paraId="6A0AA0CC" w14:textId="77777777" w:rsidTr="00BA2911">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F2AD3D6" w14:textId="66ADF9C3"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90D9B47"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t>Središnji državni ured za razvoj digitalnog društva, Udruga gradova u Republici Hrvatskoj, jedinice lokalne i područne (regionalne) samouprave</w:t>
            </w:r>
          </w:p>
        </w:tc>
      </w:tr>
      <w:tr w:rsidR="0086194D" w:rsidRPr="0033148D" w14:paraId="7B2E6617" w14:textId="77777777" w:rsidTr="00BA2911">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34C7A02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6958D80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0648426" w14:textId="3A4F7C4F"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3FCD7078" w14:textId="77777777" w:rsidTr="00BA2911">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3E0F7AB7"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72E389C8"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E29AC8D" w14:textId="4477C537"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04AFEA4B"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BC9720E" w14:textId="7077C9D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A297D11"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1. siječnja 2022. godine</w:t>
            </w:r>
          </w:p>
        </w:tc>
      </w:tr>
      <w:tr w:rsidR="0086194D" w:rsidRPr="0033148D" w14:paraId="5F5C0726"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3CE9B38" w14:textId="63CC6284"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4825708F"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31. prosinca 2023. godine</w:t>
            </w:r>
          </w:p>
        </w:tc>
      </w:tr>
      <w:tr w:rsidR="0086194D" w:rsidRPr="0033148D" w14:paraId="5EA846D5"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4291C1C" w14:textId="5164657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8285742" w14:textId="55E82B99" w:rsidR="0086194D" w:rsidRPr="0033148D" w:rsidRDefault="0086194D" w:rsidP="0033148D">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color w:val="000000"/>
                <w:sz w:val="22"/>
                <w:szCs w:val="22"/>
              </w:rPr>
            </w:pPr>
            <w:r w:rsidRPr="0033148D">
              <w:rPr>
                <w:rFonts w:asciiTheme="minorHAnsi" w:hAnsiTheme="minorHAnsi" w:cstheme="minorHAnsi"/>
                <w:color w:val="000000"/>
                <w:sz w:val="22"/>
                <w:szCs w:val="22"/>
              </w:rPr>
              <w:t>broj JLPS(R)-a koji su pokrenuli portale otvorenih podataka</w:t>
            </w:r>
          </w:p>
        </w:tc>
      </w:tr>
      <w:tr w:rsidR="0086194D" w:rsidRPr="0033148D" w14:paraId="1A96AF61" w14:textId="77777777" w:rsidTr="00D27439">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8805036" w14:textId="7B65E60B" w:rsidR="0086194D" w:rsidRPr="0033148D" w:rsidRDefault="0086194D" w:rsidP="00D27439">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920F18"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0759DFA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1DE55AD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02DAAFCB"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66C3804C" w14:textId="77777777" w:rsidTr="00541718">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21D2CB4C"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2ECDEFC9"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F7CAAC" w:themeFill="accent2" w:themeFillTint="66"/>
            <w:noWrap/>
            <w:vAlign w:val="center"/>
            <w:hideMark/>
          </w:tcPr>
          <w:p w14:paraId="2D74CF4F"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552" w:type="dxa"/>
            <w:tcBorders>
              <w:top w:val="nil"/>
              <w:left w:val="nil"/>
              <w:bottom w:val="single" w:sz="4" w:space="0" w:color="auto"/>
              <w:right w:val="single" w:sz="4" w:space="0" w:color="auto"/>
            </w:tcBorders>
            <w:shd w:val="clear" w:color="auto" w:fill="auto"/>
            <w:noWrap/>
            <w:vAlign w:val="center"/>
            <w:hideMark/>
          </w:tcPr>
          <w:p w14:paraId="7541C2A4"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uto"/>
            <w:noWrap/>
            <w:vAlign w:val="center"/>
            <w:hideMark/>
          </w:tcPr>
          <w:p w14:paraId="76D50F93"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r>
      <w:tr w:rsidR="0086194D" w:rsidRPr="0033148D" w14:paraId="4A76F214" w14:textId="77777777" w:rsidTr="00D27439">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51DD439" w14:textId="75AB1391"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14638F23" w14:textId="49A832B0"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1836E070"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031C43A" w14:textId="215FEAD4" w:rsidR="0086194D" w:rsidRPr="0033148D" w:rsidRDefault="0086194D" w:rsidP="00D2743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41D28B" w14:textId="375CB759" w:rsidR="0086194D" w:rsidRPr="0033148D" w:rsidRDefault="0086194D" w:rsidP="0033148D">
            <w:pPr>
              <w:pStyle w:val="NormalWeb"/>
              <w:rPr>
                <w:rFonts w:asciiTheme="minorHAnsi" w:hAnsiTheme="minorHAnsi" w:cstheme="minorHAnsi"/>
                <w:bCs/>
                <w:color w:val="000000"/>
                <w:sz w:val="22"/>
                <w:szCs w:val="22"/>
              </w:rPr>
            </w:pPr>
            <w:r w:rsidRPr="0033148D">
              <w:rPr>
                <w:rFonts w:asciiTheme="minorHAnsi" w:hAnsiTheme="minorHAnsi" w:cstheme="minorHAnsi"/>
                <w:color w:val="000000"/>
                <w:sz w:val="22"/>
                <w:szCs w:val="22"/>
              </w:rPr>
              <w:t xml:space="preserve">Trenutno vlastite portale otvorenih podataka imaju gradovi Rijeka, Zagreb, Krk, Virovitica, Varaždin, Brodsko-posavska županija i </w:t>
            </w:r>
            <w:r w:rsidR="008C493B">
              <w:rPr>
                <w:rFonts w:asciiTheme="minorHAnsi" w:hAnsiTheme="minorHAnsi" w:cstheme="minorHAnsi"/>
                <w:color w:val="000000"/>
                <w:sz w:val="22"/>
                <w:szCs w:val="22"/>
              </w:rPr>
              <w:t xml:space="preserve">općina </w:t>
            </w:r>
            <w:r w:rsidRPr="0033148D">
              <w:rPr>
                <w:rFonts w:asciiTheme="minorHAnsi" w:hAnsiTheme="minorHAnsi" w:cstheme="minorHAnsi"/>
                <w:color w:val="000000"/>
                <w:sz w:val="22"/>
                <w:szCs w:val="22"/>
              </w:rPr>
              <w:t>Grožnjan.</w:t>
            </w:r>
          </w:p>
        </w:tc>
      </w:tr>
      <w:tr w:rsidR="0086194D" w:rsidRPr="0033148D" w14:paraId="0FA88557"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C0D5499" w14:textId="2E84014F"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6734847" w14:textId="57D32772"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74EA005E"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F102143" w14:textId="6786E110" w:rsidR="0086194D" w:rsidRPr="0033148D" w:rsidRDefault="0086194D" w:rsidP="00D27439">
            <w:pPr>
              <w:spacing w:after="0" w:line="240" w:lineRule="auto"/>
              <w:rPr>
                <w:rFonts w:ascii="Calibri" w:eastAsia="Times New Roman" w:hAnsi="Calibri" w:cs="Times New Roman"/>
                <w:color w:val="000000"/>
                <w:lang w:eastAsia="hr-HR"/>
              </w:rPr>
            </w:pPr>
            <w:r w:rsidRPr="0033148D">
              <w:rPr>
                <w:b/>
                <w:bCs/>
                <w:lang w:eastAsia="hr-HR"/>
              </w:rPr>
              <w:t>Sljedeći koraci</w:t>
            </w:r>
            <w:r w:rsidR="00D27439">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8D8EC32" w14:textId="71A20BE5"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501D1DEB" w14:textId="77777777" w:rsidR="0086194D" w:rsidRPr="0033148D" w:rsidRDefault="0086194D" w:rsidP="0033148D">
      <w:pPr>
        <w:spacing w:line="240" w:lineRule="auto"/>
      </w:pPr>
    </w:p>
    <w:tbl>
      <w:tblPr>
        <w:tblW w:w="14709" w:type="dxa"/>
        <w:jc w:val="center"/>
        <w:tblLook w:val="04A0" w:firstRow="1" w:lastRow="0" w:firstColumn="1" w:lastColumn="0" w:noHBand="0" w:noVBand="1"/>
      </w:tblPr>
      <w:tblGrid>
        <w:gridCol w:w="2093"/>
        <w:gridCol w:w="2126"/>
        <w:gridCol w:w="2693"/>
        <w:gridCol w:w="2410"/>
        <w:gridCol w:w="2552"/>
        <w:gridCol w:w="2835"/>
      </w:tblGrid>
      <w:tr w:rsidR="0086194D" w:rsidRPr="0033148D" w14:paraId="41C6BC71" w14:textId="77777777" w:rsidTr="00D27439">
        <w:trPr>
          <w:trHeight w:val="431"/>
          <w:jc w:val="center"/>
        </w:trPr>
        <w:tc>
          <w:tcPr>
            <w:tcW w:w="1470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E9FD7" w14:textId="5D923591"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15.3. Uspostaviti internetske sustave za savjetovanja sa zainteresiranom javnošću na lokalnoj i područnoj (regionalnoj) razini</w:t>
            </w:r>
          </w:p>
        </w:tc>
      </w:tr>
      <w:tr w:rsidR="0086194D" w:rsidRPr="0033148D" w14:paraId="2EA9E2CB" w14:textId="77777777" w:rsidTr="00BA2911">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A680207" w14:textId="182F4F83" w:rsidR="0086194D" w:rsidRPr="0033148D" w:rsidRDefault="00C543F8" w:rsidP="00BE54A2">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Nositelj</w:t>
            </w:r>
            <w:r w:rsidR="00F355E7" w:rsidRPr="0033148D">
              <w:rPr>
                <w:rFonts w:ascii="Calibri" w:eastAsia="Times New Roman" w:hAnsi="Calibri" w:cs="Times New Roman"/>
                <w:b/>
                <w:bCs/>
                <w:color w:val="000000"/>
                <w:lang w:eastAsia="hr-HR"/>
              </w:rPr>
              <w:t>i</w:t>
            </w:r>
            <w:r w:rsidRPr="0033148D">
              <w:rPr>
                <w:rFonts w:ascii="Calibri" w:eastAsia="Times New Roman" w:hAnsi="Calibri" w:cs="Times New Roman"/>
                <w:b/>
                <w:bCs/>
                <w:color w:val="000000"/>
                <w:lang w:eastAsia="hr-HR"/>
              </w:rPr>
              <w:t xml:space="preserve">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3227AFB"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Središnji državni ured za razvoj digitalnog društva</w:t>
            </w:r>
          </w:p>
          <w:p w14:paraId="7CD4B7D3" w14:textId="77777777" w:rsidR="0086194D" w:rsidRPr="0033148D" w:rsidRDefault="0086194D" w:rsidP="0033148D">
            <w:pPr>
              <w:pStyle w:val="Default"/>
              <w:rPr>
                <w:rFonts w:ascii="Calibri" w:eastAsia="Times New Roman" w:hAnsi="Calibri" w:cs="Times New Roman"/>
                <w:sz w:val="22"/>
                <w:szCs w:val="22"/>
                <w:lang w:eastAsia="hr-HR"/>
              </w:rPr>
            </w:pPr>
            <w:r w:rsidRPr="0033148D">
              <w:rPr>
                <w:rFonts w:ascii="Calibri" w:eastAsia="Times New Roman" w:hAnsi="Calibri" w:cs="Times New Roman"/>
                <w:sz w:val="22"/>
                <w:szCs w:val="22"/>
                <w:lang w:eastAsia="hr-HR"/>
              </w:rPr>
              <w:t>Ured za udruge</w:t>
            </w:r>
          </w:p>
          <w:p w14:paraId="079D0A89" w14:textId="77777777" w:rsidR="0086194D" w:rsidRPr="0033148D" w:rsidRDefault="0086194D" w:rsidP="0033148D">
            <w:pPr>
              <w:pStyle w:val="Default"/>
              <w:rPr>
                <w:rFonts w:ascii="Calibri" w:eastAsia="Times New Roman" w:hAnsi="Calibri" w:cs="Times New Roman"/>
                <w:sz w:val="22"/>
                <w:szCs w:val="22"/>
                <w:lang w:eastAsia="hr-HR"/>
              </w:rPr>
            </w:pPr>
            <w:r w:rsidRPr="0033148D">
              <w:rPr>
                <w:rFonts w:ascii="Calibri" w:eastAsia="Times New Roman" w:hAnsi="Calibri" w:cs="Times New Roman"/>
                <w:sz w:val="22"/>
                <w:szCs w:val="22"/>
                <w:lang w:eastAsia="hr-HR"/>
              </w:rPr>
              <w:t>Savjet inicijative Partnerstvo za otvorenu vlast</w:t>
            </w:r>
          </w:p>
        </w:tc>
      </w:tr>
      <w:tr w:rsidR="0086194D" w:rsidRPr="0033148D" w14:paraId="1C796368"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753F4D6" w14:textId="55FF652B" w:rsidR="0086194D" w:rsidRPr="0033148D" w:rsidRDefault="00C543F8" w:rsidP="00BE54A2">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AE48970" w14:textId="790282F7"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7F09F5D" w14:textId="77777777" w:rsidTr="00BA2911">
        <w:trPr>
          <w:trHeight w:val="228"/>
          <w:jc w:val="center"/>
        </w:trPr>
        <w:tc>
          <w:tcPr>
            <w:tcW w:w="2093" w:type="dxa"/>
            <w:vMerge w:val="restart"/>
            <w:tcBorders>
              <w:top w:val="nil"/>
              <w:left w:val="single" w:sz="4" w:space="0" w:color="auto"/>
              <w:bottom w:val="single" w:sz="4" w:space="0" w:color="auto"/>
              <w:right w:val="single" w:sz="4" w:space="0" w:color="auto"/>
            </w:tcBorders>
            <w:shd w:val="clear" w:color="000000" w:fill="F2F2F2"/>
            <w:vAlign w:val="center"/>
            <w:hideMark/>
          </w:tcPr>
          <w:p w14:paraId="77E75ED3" w14:textId="77777777" w:rsidR="0086194D" w:rsidRPr="0033148D" w:rsidRDefault="0086194D" w:rsidP="00BE54A2">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022DC0E3" w14:textId="77777777" w:rsidR="0086194D" w:rsidRPr="0033148D" w:rsidRDefault="0086194D" w:rsidP="00BE54A2">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04D7E3C" w14:textId="5D6BD20F"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66091D82" w14:textId="77777777" w:rsidTr="00BA2911">
        <w:trPr>
          <w:trHeight w:val="70"/>
          <w:jc w:val="center"/>
        </w:trPr>
        <w:tc>
          <w:tcPr>
            <w:tcW w:w="2093" w:type="dxa"/>
            <w:vMerge/>
            <w:tcBorders>
              <w:top w:val="nil"/>
              <w:left w:val="single" w:sz="4" w:space="0" w:color="auto"/>
              <w:bottom w:val="single" w:sz="4" w:space="0" w:color="auto"/>
              <w:right w:val="single" w:sz="4" w:space="0" w:color="auto"/>
            </w:tcBorders>
            <w:vAlign w:val="center"/>
            <w:hideMark/>
          </w:tcPr>
          <w:p w14:paraId="551E7BEA" w14:textId="77777777" w:rsidR="0086194D" w:rsidRPr="0033148D" w:rsidRDefault="0086194D" w:rsidP="00BE54A2">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0D84A4A4" w14:textId="77777777" w:rsidR="0086194D" w:rsidRPr="0033148D" w:rsidRDefault="0086194D" w:rsidP="00BE54A2">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4ACD8E2" w14:textId="2E466525"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502F74AE"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D955CFE" w14:textId="404EDC5D" w:rsidR="0086194D" w:rsidRPr="0033148D" w:rsidRDefault="0086194D" w:rsidP="00BE54A2">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261D616E"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lipanj 2022.</w:t>
            </w:r>
          </w:p>
        </w:tc>
      </w:tr>
      <w:tr w:rsidR="0086194D" w:rsidRPr="0033148D" w14:paraId="4AC970B9"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7F0E0C9" w14:textId="473AB63D" w:rsidR="0086194D" w:rsidRPr="0033148D" w:rsidRDefault="0086194D" w:rsidP="00BE54A2">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EEC5017"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prosinac 2023.</w:t>
            </w:r>
          </w:p>
        </w:tc>
      </w:tr>
      <w:tr w:rsidR="0086194D" w:rsidRPr="0033148D" w14:paraId="4ADBBFA6" w14:textId="77777777" w:rsidTr="00BA2911">
        <w:trPr>
          <w:trHeight w:val="300"/>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674D5A06" w14:textId="68F5E989" w:rsidR="0086194D" w:rsidRPr="0033148D" w:rsidRDefault="00C543F8" w:rsidP="00BE54A2">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D8384D5" w14:textId="77777777" w:rsidR="00072257" w:rsidRPr="0033148D" w:rsidRDefault="00072257" w:rsidP="0033148D">
            <w:pPr>
              <w:pStyle w:val="ListParagraph"/>
              <w:numPr>
                <w:ilvl w:val="0"/>
                <w:numId w:val="27"/>
              </w:num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 okviru e-Savjetovanja uspostavljen sustav za savjetovanje sa zainteresiranom javnošću za jedinice lokalne i područne (regionalne) samouprave</w:t>
            </w:r>
          </w:p>
          <w:p w14:paraId="598B9207" w14:textId="77E21FD8" w:rsidR="00072257" w:rsidRPr="0033148D" w:rsidRDefault="00072257" w:rsidP="0033148D">
            <w:pPr>
              <w:pStyle w:val="ListParagraph"/>
              <w:numPr>
                <w:ilvl w:val="0"/>
                <w:numId w:val="27"/>
              </w:num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Broj jedinica lokalne i područne (regionalne) samouprave koje provode postupke savjetovanja na novo</w:t>
            </w:r>
            <w:r w:rsidR="009E4E5E">
              <w:rPr>
                <w:rFonts w:ascii="Calibri" w:eastAsia="Times New Roman" w:hAnsi="Calibri" w:cs="Times New Roman"/>
                <w:color w:val="000000"/>
                <w:lang w:eastAsia="hr-HR"/>
              </w:rPr>
              <w:t xml:space="preserve"> </w:t>
            </w:r>
            <w:r w:rsidRPr="0033148D">
              <w:rPr>
                <w:rFonts w:ascii="Calibri" w:eastAsia="Times New Roman" w:hAnsi="Calibri" w:cs="Times New Roman"/>
                <w:color w:val="000000"/>
                <w:lang w:eastAsia="hr-HR"/>
              </w:rPr>
              <w:t>uspostavljenom sustavu</w:t>
            </w:r>
          </w:p>
          <w:p w14:paraId="4B34FD07" w14:textId="0608F0BF" w:rsidR="0086194D" w:rsidRPr="0033148D" w:rsidRDefault="00072257" w:rsidP="0033148D">
            <w:pPr>
              <w:pStyle w:val="ListParagraph"/>
              <w:numPr>
                <w:ilvl w:val="0"/>
                <w:numId w:val="27"/>
              </w:numPr>
              <w:spacing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Broj provedenih savjetovanja sa zainteresiranom javnošću na lokalnoj i područnoj (regionalnoj) razini</w:t>
            </w:r>
          </w:p>
        </w:tc>
      </w:tr>
      <w:tr w:rsidR="0086194D" w:rsidRPr="0033148D" w14:paraId="29BC6BF7" w14:textId="77777777" w:rsidTr="00BA2911">
        <w:trPr>
          <w:trHeight w:val="718"/>
          <w:jc w:val="center"/>
        </w:trPr>
        <w:tc>
          <w:tcPr>
            <w:tcW w:w="4219"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12E0DDC8" w14:textId="31A58048" w:rsidR="0086194D" w:rsidRPr="0033148D" w:rsidRDefault="0086194D" w:rsidP="00BE54A2">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7A90E0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0B8B401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7826724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75FA989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2ACCCCBB" w14:textId="77777777" w:rsidTr="00541718">
        <w:trPr>
          <w:trHeight w:val="642"/>
          <w:jc w:val="center"/>
        </w:trPr>
        <w:tc>
          <w:tcPr>
            <w:tcW w:w="4219" w:type="dxa"/>
            <w:gridSpan w:val="2"/>
            <w:vMerge/>
            <w:tcBorders>
              <w:top w:val="single" w:sz="4" w:space="0" w:color="auto"/>
              <w:left w:val="single" w:sz="4" w:space="0" w:color="auto"/>
              <w:bottom w:val="single" w:sz="4" w:space="0" w:color="000000"/>
              <w:right w:val="single" w:sz="4" w:space="0" w:color="000000"/>
            </w:tcBorders>
            <w:vAlign w:val="center"/>
            <w:hideMark/>
          </w:tcPr>
          <w:p w14:paraId="3C86A27F" w14:textId="77777777" w:rsidR="0086194D" w:rsidRPr="0033148D" w:rsidRDefault="0086194D" w:rsidP="00BE54A2">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1414ABB8"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780C738E"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10B9F3E4"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835" w:type="dxa"/>
            <w:tcBorders>
              <w:top w:val="nil"/>
              <w:left w:val="nil"/>
              <w:bottom w:val="single" w:sz="4" w:space="0" w:color="auto"/>
              <w:right w:val="single" w:sz="4" w:space="0" w:color="auto"/>
            </w:tcBorders>
            <w:shd w:val="clear" w:color="auto" w:fill="A8D08D" w:themeFill="accent6" w:themeFillTint="99"/>
            <w:noWrap/>
            <w:vAlign w:val="center"/>
            <w:hideMark/>
          </w:tcPr>
          <w:p w14:paraId="48CE3B7C"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4C5C2A9A" w14:textId="77777777" w:rsidTr="00D27439">
        <w:trPr>
          <w:trHeight w:val="431"/>
          <w:jc w:val="center"/>
        </w:trPr>
        <w:tc>
          <w:tcPr>
            <w:tcW w:w="4219"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0DD6DCC1" w14:textId="222A10DF"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0490" w:type="dxa"/>
            <w:gridSpan w:val="4"/>
            <w:tcBorders>
              <w:top w:val="nil"/>
              <w:left w:val="nil"/>
              <w:bottom w:val="single" w:sz="4" w:space="0" w:color="auto"/>
              <w:right w:val="single" w:sz="4" w:space="0" w:color="auto"/>
            </w:tcBorders>
            <w:shd w:val="clear" w:color="auto" w:fill="auto"/>
            <w:noWrap/>
            <w:vAlign w:val="center"/>
          </w:tcPr>
          <w:p w14:paraId="06DFA225" w14:textId="4C96F245" w:rsidR="0086194D" w:rsidRPr="0033148D" w:rsidRDefault="00C26794"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bCs/>
                <w:color w:val="000000"/>
                <w:lang w:eastAsia="hr-HR"/>
              </w:rPr>
              <w:t>Nije bilo izmjena.</w:t>
            </w:r>
          </w:p>
        </w:tc>
      </w:tr>
      <w:tr w:rsidR="0086194D" w:rsidRPr="0033148D" w14:paraId="5F7C400B"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06DB2287" w14:textId="39DBAAD9" w:rsidR="0086194D" w:rsidRPr="0033148D" w:rsidRDefault="0086194D" w:rsidP="00D2743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C83A96" w14:textId="77777777" w:rsidR="0086194D" w:rsidRPr="0033148D" w:rsidRDefault="0086194D" w:rsidP="0033148D">
            <w:pPr>
              <w:spacing w:line="240" w:lineRule="auto"/>
              <w:rPr>
                <w:rFonts w:eastAsia="Times New Roman" w:cstheme="minorHAnsi"/>
                <w:color w:val="000000"/>
              </w:rPr>
            </w:pPr>
            <w:r w:rsidRPr="0033148D">
              <w:rPr>
                <w:rFonts w:cstheme="minorHAnsi"/>
                <w:color w:val="000000"/>
              </w:rPr>
              <w:t xml:space="preserve">Novi sustav e-Savjetovanja koji je </w:t>
            </w:r>
            <w:r w:rsidR="00E60003" w:rsidRPr="0033148D">
              <w:rPr>
                <w:rFonts w:cstheme="minorHAnsi"/>
                <w:color w:val="000000"/>
              </w:rPr>
              <w:t xml:space="preserve">izrađen </w:t>
            </w:r>
            <w:r w:rsidRPr="0033148D">
              <w:rPr>
                <w:rFonts w:cstheme="minorHAnsi"/>
                <w:color w:val="000000"/>
              </w:rPr>
              <w:t xml:space="preserve">kroz EU projekt „e-Savjetovanja - proširenja, nadgradnje i unaprjeđenje zakonodavnih procesa savjetovanja s javnošću“ proširen </w:t>
            </w:r>
            <w:r w:rsidR="00E60003" w:rsidRPr="0033148D">
              <w:rPr>
                <w:rFonts w:cstheme="minorHAnsi"/>
                <w:color w:val="000000"/>
              </w:rPr>
              <w:t xml:space="preserve">je </w:t>
            </w:r>
            <w:r w:rsidRPr="0033148D">
              <w:rPr>
                <w:rFonts w:cstheme="minorHAnsi"/>
                <w:color w:val="000000"/>
              </w:rPr>
              <w:t>na jedinice lokalne, područne i regionalne samouprave</w:t>
            </w:r>
            <w:r w:rsidR="008E7C8E" w:rsidRPr="0033148D">
              <w:rPr>
                <w:rFonts w:cstheme="minorHAnsi"/>
                <w:color w:val="000000"/>
              </w:rPr>
              <w:t>.</w:t>
            </w:r>
          </w:p>
        </w:tc>
      </w:tr>
      <w:tr w:rsidR="0086194D" w:rsidRPr="0033148D" w14:paraId="3D539081"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2488BA6" w14:textId="0975DAF2" w:rsidR="0086194D" w:rsidRPr="0033148D" w:rsidRDefault="0086194D" w:rsidP="00D27439">
            <w:pPr>
              <w:spacing w:after="0" w:line="240" w:lineRule="auto"/>
              <w:rPr>
                <w:rFonts w:ascii="Calibri" w:eastAsia="Times New Roman" w:hAnsi="Calibri" w:cs="Times New Roman"/>
                <w:i/>
                <w:i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4222789" w14:textId="404301FE" w:rsidR="0086194D" w:rsidRPr="0033148D" w:rsidRDefault="00EC5B9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EBD2531" w14:textId="77777777" w:rsidTr="00D27439">
        <w:trPr>
          <w:trHeight w:val="431"/>
          <w:jc w:val="center"/>
        </w:trPr>
        <w:tc>
          <w:tcPr>
            <w:tcW w:w="4219"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9DB879E" w14:textId="561ECE34" w:rsidR="0086194D" w:rsidRPr="0033148D" w:rsidRDefault="0086194D" w:rsidP="00D27439">
            <w:pPr>
              <w:spacing w:after="0" w:line="240" w:lineRule="auto"/>
              <w:rPr>
                <w:rFonts w:ascii="Calibri" w:eastAsia="Times New Roman" w:hAnsi="Calibri" w:cs="Times New Roman"/>
                <w:color w:val="000000"/>
                <w:lang w:eastAsia="hr-HR"/>
              </w:rPr>
            </w:pPr>
            <w:r w:rsidRPr="0033148D">
              <w:rPr>
                <w:b/>
                <w:bCs/>
                <w:lang w:eastAsia="hr-HR"/>
              </w:rPr>
              <w:t>Sljedeći koraci</w:t>
            </w:r>
            <w:r w:rsidR="00D27439">
              <w:rPr>
                <w:b/>
                <w:b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5EEA1AD" w14:textId="65B047A3" w:rsidR="0086194D" w:rsidRPr="0033148D" w:rsidRDefault="00EC5B9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bl>
    <w:p w14:paraId="29489D3F" w14:textId="77777777" w:rsidR="0086194D" w:rsidRPr="0033148D" w:rsidRDefault="0086194D" w:rsidP="0033148D">
      <w:pPr>
        <w:spacing w:line="240" w:lineRule="auto"/>
      </w:pPr>
    </w:p>
    <w:p w14:paraId="04BEA3AA" w14:textId="77777777" w:rsidR="0086194D" w:rsidRPr="0091246B" w:rsidRDefault="0086194D" w:rsidP="00267611">
      <w:pPr>
        <w:pStyle w:val="Heading2"/>
        <w:rPr>
          <w:b/>
        </w:rPr>
      </w:pPr>
      <w:bookmarkStart w:id="36" w:name="_Toc183591336"/>
      <w:r w:rsidRPr="0091246B">
        <w:rPr>
          <w:b/>
        </w:rPr>
        <w:t>F - ODRŽIVOST INICIJATIVE PARTNERSTVO ZA OTVORENU VLAST</w:t>
      </w:r>
      <w:bookmarkEnd w:id="36"/>
    </w:p>
    <w:p w14:paraId="20996236" w14:textId="30B80D3E" w:rsidR="0086194D" w:rsidRPr="007A4029" w:rsidRDefault="0086194D" w:rsidP="00267611">
      <w:pPr>
        <w:pStyle w:val="Heading3"/>
      </w:pPr>
      <w:bookmarkStart w:id="37" w:name="_Toc183591337"/>
      <w:r w:rsidRPr="007A4029">
        <w:t>MJERA 16 – OSIGURAVANJE ODRŽIVOSTI VRIJEDNOSTI I SADRŽAJA INICIJATIVE PARTNERSTVO ZA OTVORENU VLAST</w:t>
      </w:r>
      <w:bookmarkEnd w:id="37"/>
    </w:p>
    <w:tbl>
      <w:tblPr>
        <w:tblW w:w="15163" w:type="dxa"/>
        <w:jc w:val="center"/>
        <w:tblLook w:val="04A0" w:firstRow="1" w:lastRow="0" w:firstColumn="1" w:lastColumn="0" w:noHBand="0" w:noVBand="1"/>
      </w:tblPr>
      <w:tblGrid>
        <w:gridCol w:w="1980"/>
        <w:gridCol w:w="2126"/>
        <w:gridCol w:w="2693"/>
        <w:gridCol w:w="2410"/>
        <w:gridCol w:w="2552"/>
        <w:gridCol w:w="3402"/>
      </w:tblGrid>
      <w:tr w:rsidR="0086194D" w:rsidRPr="0033148D" w14:paraId="63E29B4C" w14:textId="77777777" w:rsidTr="00C543F8">
        <w:trPr>
          <w:trHeight w:val="70"/>
          <w:jc w:val="center"/>
        </w:trPr>
        <w:tc>
          <w:tcPr>
            <w:tcW w:w="15163" w:type="dxa"/>
            <w:gridSpan w:val="6"/>
            <w:tcBorders>
              <w:top w:val="single" w:sz="4" w:space="0" w:color="auto"/>
              <w:left w:val="single" w:sz="4" w:space="0" w:color="auto"/>
              <w:right w:val="single" w:sz="4" w:space="0" w:color="000000"/>
            </w:tcBorders>
            <w:shd w:val="clear" w:color="000000" w:fill="F2F2F2"/>
            <w:vAlign w:val="center"/>
          </w:tcPr>
          <w:p w14:paraId="009B60F1" w14:textId="70CBEE57" w:rsidR="0086194D" w:rsidRPr="0033148D" w:rsidRDefault="009E1518" w:rsidP="0033148D">
            <w:pPr>
              <w:spacing w:after="0" w:line="240" w:lineRule="auto"/>
              <w:rPr>
                <w:rFonts w:ascii="Calibri" w:eastAsia="Times New Roman" w:hAnsi="Calibri" w:cs="Times New Roman"/>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16.1. Podizati razinu znanja i vještina srednjoškolskih učenika/</w:t>
            </w:r>
            <w:proofErr w:type="spellStart"/>
            <w:r w:rsidR="0086194D" w:rsidRPr="0033148D">
              <w:rPr>
                <w:rFonts w:ascii="Calibri" w:eastAsia="Times New Roman" w:hAnsi="Calibri" w:cs="Times New Roman"/>
                <w:b/>
                <w:bCs/>
                <w:color w:val="000000"/>
                <w:lang w:eastAsia="hr-HR"/>
              </w:rPr>
              <w:t>ca</w:t>
            </w:r>
            <w:proofErr w:type="spellEnd"/>
            <w:r w:rsidR="0086194D" w:rsidRPr="0033148D">
              <w:rPr>
                <w:rFonts w:ascii="Calibri" w:eastAsia="Times New Roman" w:hAnsi="Calibri" w:cs="Times New Roman"/>
                <w:b/>
                <w:bCs/>
                <w:color w:val="000000"/>
                <w:lang w:eastAsia="hr-HR"/>
              </w:rPr>
              <w:t xml:space="preserve"> o građanskom praćenju javnih financija, uporabi javno dostupnih (otvorenih) podataka i aktivnostima Inicijative Partnerstvo za otvorenu vlast</w:t>
            </w:r>
          </w:p>
        </w:tc>
      </w:tr>
      <w:tr w:rsidR="0086194D" w:rsidRPr="0033148D" w14:paraId="6352452B"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EC40082" w14:textId="1D708F88"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054767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regionalnoga razvoja i fondova Europske unije</w:t>
            </w:r>
          </w:p>
        </w:tc>
      </w:tr>
      <w:tr w:rsidR="0086194D" w:rsidRPr="0033148D" w14:paraId="052902CD"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23ECF26" w14:textId="2EAA9DC6"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7E9DC204"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znanosti i obrazovanja, Ured za udruge Vlade Republike Hrvatske</w:t>
            </w:r>
          </w:p>
        </w:tc>
      </w:tr>
      <w:tr w:rsidR="0086194D" w:rsidRPr="0033148D" w14:paraId="1A01493D" w14:textId="77777777" w:rsidTr="00C543F8">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115D22F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3D12B21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1148340B" w14:textId="31AA99E1"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F57426B" w14:textId="77777777" w:rsidTr="00C543F8">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3E636853"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06A616B7"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CC226CD" w14:textId="37A7E85B" w:rsidR="0086194D"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4BBA73C8" w14:textId="77777777" w:rsidTr="00C543F8">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F7B3151" w14:textId="10CCA4D2"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041F9C43"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Mrežne edukacije u okviru projekta „U školi otvorene kohezije, ASOC“ započele su u siječnju 2023. godine</w:t>
            </w:r>
          </w:p>
        </w:tc>
      </w:tr>
      <w:tr w:rsidR="0086194D" w:rsidRPr="0033148D" w14:paraId="2047AD68" w14:textId="77777777" w:rsidTr="00C543F8">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3DD4F26E" w14:textId="2D01D53A"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2D653FA7"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Uz uvodnu mrežnu edukaciju održane su dodatne četiri edukacije za srednjoškolske nastavnike. Posljednja u nizu mrežnih edukacija održana je u svibnju 2023. godine. </w:t>
            </w:r>
          </w:p>
        </w:tc>
      </w:tr>
      <w:tr w:rsidR="0086194D" w:rsidRPr="0033148D" w14:paraId="467406AF" w14:textId="77777777" w:rsidTr="00C543F8">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E5E0232" w14:textId="3EC81143"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tcPr>
          <w:p w14:paraId="77873178" w14:textId="77777777" w:rsidR="0086194D" w:rsidRPr="0033148D" w:rsidRDefault="0086194D" w:rsidP="0033148D">
            <w:pPr>
              <w:pStyle w:val="ListParagraph"/>
              <w:numPr>
                <w:ilvl w:val="0"/>
                <w:numId w:val="29"/>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Održana mrežna edukacija za sve sudionike i uključene u provedbu projekta „U školi otvorene kohezije, ASOC“ (učenici/</w:t>
            </w:r>
            <w:proofErr w:type="spellStart"/>
            <w:r w:rsidRPr="0033148D">
              <w:rPr>
                <w:rFonts w:ascii="Calibri" w:eastAsia="Times New Roman" w:hAnsi="Calibri" w:cs="Times New Roman"/>
                <w:color w:val="000000"/>
                <w:lang w:eastAsia="hr-HR"/>
              </w:rPr>
              <w:t>ce</w:t>
            </w:r>
            <w:proofErr w:type="spellEnd"/>
            <w:r w:rsidRPr="0033148D">
              <w:rPr>
                <w:rFonts w:ascii="Calibri" w:eastAsia="Times New Roman" w:hAnsi="Calibri" w:cs="Times New Roman"/>
                <w:color w:val="000000"/>
                <w:lang w:eastAsia="hr-HR"/>
              </w:rPr>
              <w:t>, nastavnici/</w:t>
            </w:r>
            <w:proofErr w:type="spellStart"/>
            <w:r w:rsidRPr="0033148D">
              <w:rPr>
                <w:rFonts w:ascii="Calibri" w:eastAsia="Times New Roman" w:hAnsi="Calibri" w:cs="Times New Roman"/>
                <w:color w:val="000000"/>
                <w:lang w:eastAsia="hr-HR"/>
              </w:rPr>
              <w:t>ce</w:t>
            </w:r>
            <w:proofErr w:type="spellEnd"/>
            <w:r w:rsidRPr="0033148D">
              <w:rPr>
                <w:rFonts w:ascii="Calibri" w:eastAsia="Times New Roman" w:hAnsi="Calibri" w:cs="Times New Roman"/>
                <w:color w:val="000000"/>
                <w:lang w:eastAsia="hr-HR"/>
              </w:rPr>
              <w:t>, ravnatelji/</w:t>
            </w:r>
            <w:proofErr w:type="spellStart"/>
            <w:r w:rsidRPr="0033148D">
              <w:rPr>
                <w:rFonts w:ascii="Calibri" w:eastAsia="Times New Roman" w:hAnsi="Calibri" w:cs="Times New Roman"/>
                <w:color w:val="000000"/>
                <w:lang w:eastAsia="hr-HR"/>
              </w:rPr>
              <w:t>ce</w:t>
            </w:r>
            <w:proofErr w:type="spellEnd"/>
            <w:r w:rsidRPr="0033148D">
              <w:rPr>
                <w:rFonts w:ascii="Calibri" w:eastAsia="Times New Roman" w:hAnsi="Calibri" w:cs="Times New Roman"/>
                <w:color w:val="000000"/>
                <w:lang w:eastAsia="hr-HR"/>
              </w:rPr>
              <w:t xml:space="preserve">, predstavnici regionalnih koordinatora, predstavnici </w:t>
            </w:r>
            <w:proofErr w:type="spellStart"/>
            <w:r w:rsidRPr="0033148D">
              <w:rPr>
                <w:rFonts w:ascii="Calibri" w:eastAsia="Times New Roman" w:hAnsi="Calibri" w:cs="Times New Roman"/>
                <w:color w:val="000000"/>
                <w:lang w:eastAsia="hr-HR"/>
              </w:rPr>
              <w:t>EDICa</w:t>
            </w:r>
            <w:proofErr w:type="spellEnd"/>
            <w:r w:rsidRPr="0033148D">
              <w:rPr>
                <w:rFonts w:ascii="Calibri" w:eastAsia="Times New Roman" w:hAnsi="Calibri" w:cs="Times New Roman"/>
                <w:color w:val="000000"/>
                <w:lang w:eastAsia="hr-HR"/>
              </w:rPr>
              <w:t>, predstavnici ministarstava uključenih u provedbu projekta, predstavnici civilnog društva uključeni u provedbu projekta) s do 200 polaznika u školskoj godini provedbe projekta „U školi otvorene kohezije, ASOC“</w:t>
            </w:r>
          </w:p>
          <w:p w14:paraId="1881CBCC" w14:textId="77777777" w:rsidR="0086194D" w:rsidRPr="0033148D" w:rsidRDefault="0086194D" w:rsidP="0033148D">
            <w:pPr>
              <w:pStyle w:val="ListParagraph"/>
              <w:numPr>
                <w:ilvl w:val="0"/>
                <w:numId w:val="29"/>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Ukupan broj educiranih sudionika mrežne edukacije na temu korištenja otvorenih podataka, aktivnom građanstvu i inicijativi Partnerstvo za otvorenu vlast, do 200 (broj učenika, učenica i osoba koje će sudjelovati u provedbi aktivnosti projekta „U školi otvorene kohezije, ASOC“)</w:t>
            </w:r>
            <w:r w:rsidR="008E7C8E" w:rsidRPr="0033148D">
              <w:rPr>
                <w:rFonts w:ascii="Calibri" w:eastAsia="Times New Roman" w:hAnsi="Calibri" w:cs="Times New Roman"/>
                <w:color w:val="000000"/>
                <w:lang w:eastAsia="hr-HR"/>
              </w:rPr>
              <w:t>.</w:t>
            </w:r>
          </w:p>
        </w:tc>
      </w:tr>
      <w:tr w:rsidR="0086194D" w:rsidRPr="0033148D" w14:paraId="7C3978CB" w14:textId="77777777" w:rsidTr="00C543F8">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37EC7996" w14:textId="3D7B5A7C"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601484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7A3ED55C"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78C172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402" w:type="dxa"/>
            <w:tcBorders>
              <w:top w:val="single" w:sz="4" w:space="0" w:color="auto"/>
              <w:left w:val="nil"/>
              <w:bottom w:val="single" w:sz="4" w:space="0" w:color="auto"/>
              <w:right w:val="single" w:sz="4" w:space="0" w:color="auto"/>
            </w:tcBorders>
            <w:shd w:val="clear" w:color="000000" w:fill="F2F2F2"/>
            <w:vAlign w:val="center"/>
            <w:hideMark/>
          </w:tcPr>
          <w:p w14:paraId="3460AF7F"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062293DB" w14:textId="77777777" w:rsidTr="00C543F8">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43DC05E6"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6ADB0FA9"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70F4AEB1"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75DEB682"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3402" w:type="dxa"/>
            <w:tcBorders>
              <w:top w:val="nil"/>
              <w:left w:val="nil"/>
              <w:bottom w:val="single" w:sz="4" w:space="0" w:color="auto"/>
              <w:right w:val="single" w:sz="4" w:space="0" w:color="auto"/>
            </w:tcBorders>
            <w:shd w:val="clear" w:color="auto" w:fill="A8D08D" w:themeFill="accent6" w:themeFillTint="99"/>
            <w:noWrap/>
            <w:vAlign w:val="center"/>
            <w:hideMark/>
          </w:tcPr>
          <w:p w14:paraId="7C0C7CF4"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47EBDD87" w14:textId="77777777" w:rsidTr="00D27439">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778EEBBB" w14:textId="38A77B43"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57" w:type="dxa"/>
            <w:gridSpan w:val="4"/>
            <w:tcBorders>
              <w:top w:val="nil"/>
              <w:left w:val="nil"/>
              <w:bottom w:val="single" w:sz="4" w:space="0" w:color="auto"/>
              <w:right w:val="single" w:sz="4" w:space="0" w:color="auto"/>
            </w:tcBorders>
            <w:shd w:val="clear" w:color="auto" w:fill="auto"/>
            <w:noWrap/>
            <w:vAlign w:val="center"/>
          </w:tcPr>
          <w:p w14:paraId="40F66775" w14:textId="0A6B9B72" w:rsidR="0086194D" w:rsidRPr="0033148D" w:rsidRDefault="00C543F8"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7C6A5F54" w14:textId="77777777" w:rsidTr="00C543F8">
        <w:trPr>
          <w:trHeight w:val="1415"/>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E9E5EB5" w14:textId="3B2FA40D" w:rsidR="0086194D" w:rsidRPr="0033148D" w:rsidRDefault="0086194D" w:rsidP="00D27439">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 xml:space="preserve">Opis rezultata s pokazateljima provedbe: </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A41759" w14:textId="77777777" w:rsidR="0086194D" w:rsidRPr="0033148D" w:rsidRDefault="0086194D"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Aktivnost je uspješno provedena, u aktivnosti je sudjelovalo oko 100 sudionika koji obuhvaćaju srednjoškolske učenike i profesore. Ministarstvo regionalnoga razvoja i fondova Europske unije je, u suradnji sa </w:t>
            </w:r>
            <w:proofErr w:type="spellStart"/>
            <w:r w:rsidRPr="0033148D">
              <w:rPr>
                <w:rFonts w:ascii="Calibri" w:eastAsia="Times New Roman" w:hAnsi="Calibri" w:cs="Times New Roman"/>
                <w:color w:val="000000"/>
                <w:lang w:eastAsia="hr-HR"/>
              </w:rPr>
              <w:t>sunositeljima</w:t>
            </w:r>
            <w:proofErr w:type="spellEnd"/>
            <w:r w:rsidRPr="0033148D">
              <w:rPr>
                <w:rFonts w:ascii="Calibri" w:eastAsia="Times New Roman" w:hAnsi="Calibri" w:cs="Times New Roman"/>
                <w:color w:val="000000"/>
                <w:lang w:eastAsia="hr-HR"/>
              </w:rPr>
              <w:t xml:space="preserve"> aktivnosti, u studenom 2022. godine objavilo Javni poziv za iskaz interesa za srednje škole za sudjelovanje u Projektu ASOC – Prekogranična suradnja </w:t>
            </w:r>
            <w:proofErr w:type="spellStart"/>
            <w:r w:rsidRPr="0033148D">
              <w:rPr>
                <w:rFonts w:ascii="Calibri" w:eastAsia="Times New Roman" w:hAnsi="Calibri" w:cs="Times New Roman"/>
                <w:color w:val="000000"/>
                <w:lang w:eastAsia="hr-HR"/>
              </w:rPr>
              <w:t>Interreg</w:t>
            </w:r>
            <w:proofErr w:type="spellEnd"/>
            <w:r w:rsidRPr="0033148D">
              <w:rPr>
                <w:rFonts w:ascii="Calibri" w:eastAsia="Times New Roman" w:hAnsi="Calibri" w:cs="Times New Roman"/>
                <w:color w:val="000000"/>
                <w:lang w:eastAsia="hr-HR"/>
              </w:rPr>
              <w:t xml:space="preserve"> Italija-Hrvatska. Po zaprimanju prijava proveden je evaluacijski postupak te je odabrano 8 srednjih škola koje su se uključile u provedbu projekta. Na samom početku provedbe jedna škola je odustala od provedbe, posljedično je u projektu sudjelovalo 7 srednjih škola iz Republike Hrvatske.</w:t>
            </w:r>
          </w:p>
          <w:p w14:paraId="1E20AA1E" w14:textId="77777777" w:rsidR="0086194D" w:rsidRPr="0033148D" w:rsidRDefault="0086194D"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U siječnju 2023. započela je formalna implementacija projekta, na način da su se u razdoblju od siječnja do svibnja 2023. godine, uz uvodnu konferenciju, održale dodatne četiri mrežne radionice namijenjene srednjoškolskim profesorima. Djelatnici Ministarstva su, sukladno kurikulumu projekta ASOC, educirali profesore o načinima korištenja javnih podatka i praćenju financiranja projekata s naglaskom na koncept aktivnog građanstva. Educirani profesori su nakon svake mrežne edukacije prenosili znanje i ustupljene materijale svom timu učenika koji su potom bili u obvezi izraditi izvješće vezano uz svaku pojedinu temu mrežne edukacije. Predmetno izvješće dostavljalo se na elektronsku adresu Ministarstva u zadanim rokovima. Obzirom da se projekt ASOC provodio u okviru Programa prekogranične suradnje Italija-Hrvatska važno je napomenuti kako su talijanski i hrvatski timovi škola surađivali, odnosno radili u paru proučavajući zajednički odabran projekt financiran kroz Program prekogranične suradnje Italija-Hrvatska. </w:t>
            </w:r>
          </w:p>
          <w:p w14:paraId="662B133E" w14:textId="77777777" w:rsidR="0086194D" w:rsidRPr="0033148D" w:rsidRDefault="0086194D"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lastRenderedPageBreak/>
              <w:t xml:space="preserve">Tijekom provedbe projekta sudionici su bili potaknuti na uključivanje dodatnih dionika s ciljem produbljivanja stečenih znanja. U skladu s navedenim, timovi su kontaktirali regionalne koordinatore, Europe </w:t>
            </w:r>
            <w:proofErr w:type="spellStart"/>
            <w:r w:rsidRPr="0033148D">
              <w:rPr>
                <w:rFonts w:ascii="Calibri" w:eastAsia="Times New Roman" w:hAnsi="Calibri" w:cs="Times New Roman"/>
                <w:color w:val="000000"/>
                <w:lang w:eastAsia="hr-HR"/>
              </w:rPr>
              <w:t>Direct</w:t>
            </w:r>
            <w:proofErr w:type="spellEnd"/>
            <w:r w:rsidRPr="0033148D">
              <w:rPr>
                <w:rFonts w:ascii="Calibri" w:eastAsia="Times New Roman" w:hAnsi="Calibri" w:cs="Times New Roman"/>
                <w:color w:val="000000"/>
                <w:lang w:eastAsia="hr-HR"/>
              </w:rPr>
              <w:t xml:space="preserve"> informacijske centre te različite predstavnike s lokalne odnosno regionalne razine.</w:t>
            </w:r>
          </w:p>
          <w:p w14:paraId="70EBB733" w14:textId="77777777" w:rsidR="0086194D" w:rsidRPr="0033148D" w:rsidRDefault="0086194D"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Pored četiri mrežne edukacije, u svibnju 2023. godine u suradnji s Uredom za udruge VRH obilježen je Tjedan otvorene vlasti te je tom prilikom djelatnica Ureda za udruge održala mrežnu edukaciju za učenike i profesore.</w:t>
            </w:r>
          </w:p>
          <w:p w14:paraId="38930D1A" w14:textId="77777777" w:rsidR="0086194D" w:rsidRPr="0033148D" w:rsidRDefault="0086194D"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Po završetku svih aktivnosti osnovan je Evaluacijski odbor čiji je zadatak bio vrednovati rad parova hrvatskih i talijanskih škola koje su sudjelovale u projektu. Odabran je pobjednički par škola te je u listopadu 2023. u Zadru, uz sudjelovanje učenika i profesora mentora, održano svečano uručivanje priznanja za sudjelovanje i uspjeh u provedbi projekta.</w:t>
            </w:r>
          </w:p>
        </w:tc>
      </w:tr>
      <w:tr w:rsidR="0086194D" w:rsidRPr="0033148D" w14:paraId="5D2834F1"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38242960" w14:textId="2E186DED" w:rsidR="0086194D" w:rsidRPr="0033148D" w:rsidRDefault="0086194D"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E54254F" w14:textId="77777777" w:rsidR="0086194D" w:rsidRPr="0033148D" w:rsidRDefault="005F65E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751CD7CF"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A83FB4F" w14:textId="5D497E8B" w:rsidR="0086194D" w:rsidRPr="0033148D" w:rsidRDefault="0086194D" w:rsidP="00D27439">
            <w:pPr>
              <w:spacing w:after="0" w:line="240" w:lineRule="auto"/>
              <w:rPr>
                <w:rFonts w:ascii="Calibri" w:eastAsia="Times New Roman" w:hAnsi="Calibri" w:cs="Times New Roman"/>
                <w:color w:val="000000"/>
                <w:lang w:eastAsia="hr-HR"/>
              </w:rPr>
            </w:pPr>
            <w:r w:rsidRPr="0033148D">
              <w:rPr>
                <w:b/>
                <w:bCs/>
                <w:lang w:eastAsia="hr-HR"/>
              </w:rPr>
              <w:t>Sljedeći koraci</w:t>
            </w:r>
            <w:r w:rsidR="00D27439">
              <w:rPr>
                <w:b/>
                <w:bCs/>
                <w:lang w:eastAsia="hr-HR"/>
              </w:rPr>
              <w:t>:</w:t>
            </w:r>
          </w:p>
        </w:tc>
        <w:tc>
          <w:tcPr>
            <w:tcW w:w="11057"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44CE5E8"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Obzirom da se aktivnost provodi u suradnji i koordinaciji s kolegama iz talijanske Agencije za koheziju koji su ujedno idejni začetnici projekta Ministarstvo će se pravovremeno očitovati na njihov eventualni poziv na nastavak implementacije projekta.</w:t>
            </w:r>
          </w:p>
        </w:tc>
      </w:tr>
    </w:tbl>
    <w:p w14:paraId="6C748E3B" w14:textId="12CB016A" w:rsidR="00541718" w:rsidRPr="0033148D" w:rsidRDefault="00541718" w:rsidP="0033148D">
      <w:pPr>
        <w:spacing w:line="240" w:lineRule="auto"/>
      </w:pPr>
    </w:p>
    <w:tbl>
      <w:tblPr>
        <w:tblW w:w="15167" w:type="dxa"/>
        <w:jc w:val="center"/>
        <w:tblLook w:val="04A0" w:firstRow="1" w:lastRow="0" w:firstColumn="1" w:lastColumn="0" w:noHBand="0" w:noVBand="1"/>
      </w:tblPr>
      <w:tblGrid>
        <w:gridCol w:w="1843"/>
        <w:gridCol w:w="2263"/>
        <w:gridCol w:w="2556"/>
        <w:gridCol w:w="2552"/>
        <w:gridCol w:w="2693"/>
        <w:gridCol w:w="3260"/>
      </w:tblGrid>
      <w:tr w:rsidR="00347FBF" w:rsidRPr="0033148D" w14:paraId="0879373B" w14:textId="77777777" w:rsidTr="00D27439">
        <w:trPr>
          <w:trHeight w:val="431"/>
          <w:jc w:val="center"/>
        </w:trPr>
        <w:tc>
          <w:tcPr>
            <w:tcW w:w="15167" w:type="dxa"/>
            <w:gridSpan w:val="6"/>
            <w:tcBorders>
              <w:top w:val="single" w:sz="4" w:space="0" w:color="auto"/>
              <w:left w:val="single" w:sz="4" w:space="0" w:color="auto"/>
              <w:right w:val="single" w:sz="4" w:space="0" w:color="000000"/>
            </w:tcBorders>
            <w:shd w:val="clear" w:color="000000" w:fill="F2F2F2"/>
            <w:vAlign w:val="center"/>
          </w:tcPr>
          <w:p w14:paraId="47F12084" w14:textId="60ECFE86" w:rsidR="00347FBF" w:rsidRPr="0033148D" w:rsidRDefault="009E1518" w:rsidP="0033148D">
            <w:pPr>
              <w:spacing w:after="0" w:line="240" w:lineRule="auto"/>
              <w:rPr>
                <w:rFonts w:ascii="Calibri" w:eastAsia="Times New Roman" w:hAnsi="Calibri" w:cs="Times New Roman"/>
                <w:color w:val="000000"/>
                <w:lang w:eastAsia="hr-HR"/>
              </w:rPr>
            </w:pPr>
            <w:r w:rsidRPr="0033148D">
              <w:rPr>
                <w:b/>
              </w:rPr>
              <w:t xml:space="preserve">Aktivnost </w:t>
            </w:r>
            <w:r w:rsidR="00347FBF" w:rsidRPr="0033148D">
              <w:rPr>
                <w:rFonts w:ascii="Calibri" w:eastAsia="Times New Roman" w:hAnsi="Calibri" w:cs="Times New Roman"/>
                <w:b/>
                <w:bCs/>
                <w:color w:val="000000"/>
                <w:lang w:eastAsia="hr-HR"/>
              </w:rPr>
              <w:t>16.2. Održati edukativni posjet srednjoškolskih učenika/</w:t>
            </w:r>
            <w:proofErr w:type="spellStart"/>
            <w:r w:rsidR="00347FBF" w:rsidRPr="0033148D">
              <w:rPr>
                <w:rFonts w:ascii="Calibri" w:eastAsia="Times New Roman" w:hAnsi="Calibri" w:cs="Times New Roman"/>
                <w:b/>
                <w:bCs/>
                <w:color w:val="000000"/>
                <w:lang w:eastAsia="hr-HR"/>
              </w:rPr>
              <w:t>ca</w:t>
            </w:r>
            <w:proofErr w:type="spellEnd"/>
            <w:r w:rsidR="00347FBF" w:rsidRPr="0033148D">
              <w:rPr>
                <w:rFonts w:ascii="Calibri" w:eastAsia="Times New Roman" w:hAnsi="Calibri" w:cs="Times New Roman"/>
                <w:b/>
                <w:bCs/>
                <w:color w:val="000000"/>
                <w:lang w:eastAsia="hr-HR"/>
              </w:rPr>
              <w:t xml:space="preserve"> nacionalnim institucijama (Hrvatski sabor, ministarstva)</w:t>
            </w:r>
          </w:p>
        </w:tc>
      </w:tr>
      <w:tr w:rsidR="00347FBF" w:rsidRPr="0033148D" w14:paraId="080DF9E8"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24961822" w14:textId="4F350722" w:rsidR="00347FBF"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D288F4B" w14:textId="77777777"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regionalnoga razvoja i fondova Europske unije</w:t>
            </w:r>
          </w:p>
        </w:tc>
      </w:tr>
      <w:tr w:rsidR="00347FBF" w:rsidRPr="0033148D" w14:paraId="7C6EFF94"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612F23C" w14:textId="5FCB0173" w:rsidR="00347FBF" w:rsidRPr="0033148D" w:rsidRDefault="00347FBF"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w:t>
            </w:r>
            <w:r w:rsidR="00C543F8" w:rsidRPr="0033148D">
              <w:rPr>
                <w:rFonts w:ascii="Calibri" w:eastAsia="Times New Roman" w:hAnsi="Calibri" w:cs="Times New Roman"/>
                <w:b/>
                <w:bCs/>
                <w:color w:val="000000"/>
                <w:lang w:eastAsia="hr-HR"/>
              </w:rPr>
              <w:t>i:</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1FE3ACF5" w14:textId="53D4F479"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znanosti i obrazovanja, Ured za udruge Vlade Republike Hrvatske, Hrvatski sabor</w:t>
            </w:r>
          </w:p>
        </w:tc>
      </w:tr>
      <w:tr w:rsidR="00347FBF" w:rsidRPr="0033148D" w14:paraId="053A34A0" w14:textId="77777777" w:rsidTr="00BE54A2">
        <w:trPr>
          <w:trHeight w:val="228"/>
          <w:jc w:val="center"/>
        </w:trPr>
        <w:tc>
          <w:tcPr>
            <w:tcW w:w="18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494FC308"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263" w:type="dxa"/>
            <w:tcBorders>
              <w:top w:val="nil"/>
              <w:left w:val="nil"/>
              <w:bottom w:val="single" w:sz="4" w:space="0" w:color="auto"/>
              <w:right w:val="single" w:sz="4" w:space="0" w:color="auto"/>
            </w:tcBorders>
            <w:shd w:val="clear" w:color="000000" w:fill="F2F2F2"/>
            <w:vAlign w:val="center"/>
            <w:hideMark/>
          </w:tcPr>
          <w:p w14:paraId="13F9E3E6"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74A8A7CC" w14:textId="5C4B581A"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Fakultet elektrotehnike i računarstva Sveučilišta u Zagrebu</w:t>
            </w:r>
          </w:p>
        </w:tc>
      </w:tr>
      <w:tr w:rsidR="00347FBF" w:rsidRPr="0033148D" w14:paraId="27F64669" w14:textId="77777777" w:rsidTr="00BE54A2">
        <w:trPr>
          <w:trHeight w:val="70"/>
          <w:jc w:val="center"/>
        </w:trPr>
        <w:tc>
          <w:tcPr>
            <w:tcW w:w="1843" w:type="dxa"/>
            <w:vMerge/>
            <w:tcBorders>
              <w:top w:val="nil"/>
              <w:left w:val="single" w:sz="4" w:space="0" w:color="auto"/>
              <w:bottom w:val="single" w:sz="4" w:space="0" w:color="auto"/>
              <w:right w:val="single" w:sz="4" w:space="0" w:color="auto"/>
            </w:tcBorders>
            <w:vAlign w:val="center"/>
            <w:hideMark/>
          </w:tcPr>
          <w:p w14:paraId="250186D0" w14:textId="77777777" w:rsidR="00347FBF" w:rsidRPr="0033148D" w:rsidRDefault="00347FBF" w:rsidP="0033148D">
            <w:pPr>
              <w:spacing w:after="0" w:line="240" w:lineRule="auto"/>
              <w:rPr>
                <w:rFonts w:ascii="Calibri" w:eastAsia="Times New Roman" w:hAnsi="Calibri" w:cs="Times New Roman"/>
                <w:b/>
                <w:bCs/>
                <w:color w:val="000000"/>
                <w:lang w:eastAsia="hr-HR"/>
              </w:rPr>
            </w:pPr>
          </w:p>
        </w:tc>
        <w:tc>
          <w:tcPr>
            <w:tcW w:w="2263" w:type="dxa"/>
            <w:tcBorders>
              <w:top w:val="nil"/>
              <w:left w:val="nil"/>
              <w:bottom w:val="single" w:sz="4" w:space="0" w:color="auto"/>
              <w:right w:val="single" w:sz="4" w:space="0" w:color="auto"/>
            </w:tcBorders>
            <w:shd w:val="clear" w:color="000000" w:fill="F2F2F2"/>
            <w:vAlign w:val="center"/>
            <w:hideMark/>
          </w:tcPr>
          <w:p w14:paraId="469DA53D"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28D90089" w14:textId="3AB5C34D" w:rsidR="00347FBF" w:rsidRPr="0033148D" w:rsidRDefault="0006586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347FBF" w:rsidRPr="0033148D" w14:paraId="1D2E601D"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DE3360D" w14:textId="1054B8AD" w:rsidR="00347FBF" w:rsidRPr="0033148D" w:rsidRDefault="00347FBF" w:rsidP="00D27439">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r w:rsidRPr="0033148D">
              <w:rPr>
                <w:rFonts w:ascii="Calibri" w:eastAsia="Times New Roman" w:hAnsi="Calibri" w:cs="Times New Roman"/>
                <w:bCs/>
                <w:i/>
                <w:color w:val="000000"/>
                <w:lang w:eastAsia="hr-HR"/>
              </w:rPr>
              <w:t>(</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309D4A0B" w14:textId="5C80465D"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školska godina 2022./2023. (rujan 2022.)</w:t>
            </w:r>
          </w:p>
        </w:tc>
      </w:tr>
      <w:tr w:rsidR="00347FBF" w:rsidRPr="0033148D" w14:paraId="39DBEEEC" w14:textId="77777777" w:rsidTr="00D27439">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41D0D86A" w14:textId="5CDE7B8F" w:rsidR="00347FBF" w:rsidRPr="0033148D" w:rsidRDefault="00347FBF"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040B201F" w14:textId="4EDDD9AB"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školska godina 2022./2023. (lipanj 2023.)</w:t>
            </w:r>
          </w:p>
        </w:tc>
      </w:tr>
      <w:tr w:rsidR="00347FBF" w:rsidRPr="0033148D" w14:paraId="79CDE23A" w14:textId="77777777" w:rsidTr="00BE54A2">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2293298" w14:textId="698E9333" w:rsidR="00347FBF"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58329A1E" w14:textId="77777777" w:rsidR="00347FBF" w:rsidRPr="0033148D" w:rsidRDefault="00347FBF" w:rsidP="0033148D">
            <w:pPr>
              <w:pStyle w:val="ListParagraph"/>
              <w:numPr>
                <w:ilvl w:val="0"/>
                <w:numId w:val="31"/>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Organiziran edukativni posjet jednoj nacionalnoj instituciji za sve učenike/</w:t>
            </w:r>
            <w:proofErr w:type="spellStart"/>
            <w:r w:rsidRPr="0033148D">
              <w:rPr>
                <w:rFonts w:ascii="Calibri" w:eastAsia="Times New Roman" w:hAnsi="Calibri" w:cs="Times New Roman"/>
                <w:color w:val="000000"/>
                <w:lang w:eastAsia="hr-HR"/>
              </w:rPr>
              <w:t>ce</w:t>
            </w:r>
            <w:proofErr w:type="spellEnd"/>
            <w:r w:rsidRPr="0033148D">
              <w:rPr>
                <w:rFonts w:ascii="Calibri" w:eastAsia="Times New Roman" w:hAnsi="Calibri" w:cs="Times New Roman"/>
                <w:color w:val="000000"/>
                <w:lang w:eastAsia="hr-HR"/>
              </w:rPr>
              <w:t xml:space="preserve"> i nastavnike/</w:t>
            </w:r>
            <w:proofErr w:type="spellStart"/>
            <w:r w:rsidRPr="0033148D">
              <w:rPr>
                <w:rFonts w:ascii="Calibri" w:eastAsia="Times New Roman" w:hAnsi="Calibri" w:cs="Times New Roman"/>
                <w:color w:val="000000"/>
                <w:lang w:eastAsia="hr-HR"/>
              </w:rPr>
              <w:t>ce</w:t>
            </w:r>
            <w:proofErr w:type="spellEnd"/>
            <w:r w:rsidRPr="0033148D">
              <w:rPr>
                <w:rFonts w:ascii="Calibri" w:eastAsia="Times New Roman" w:hAnsi="Calibri" w:cs="Times New Roman"/>
                <w:color w:val="000000"/>
                <w:lang w:eastAsia="hr-HR"/>
              </w:rPr>
              <w:t xml:space="preserve"> uključene u provedbu projekta „U školi otvorene kohezije, ASOC“, do 200 sudionika u školskoj godini provedbe projekta „U školi otvorene kohezije, ASOC“</w:t>
            </w:r>
          </w:p>
          <w:p w14:paraId="27D036AA" w14:textId="6E413F9F" w:rsidR="00347FBF" w:rsidRPr="0033148D" w:rsidRDefault="00347FBF" w:rsidP="0033148D">
            <w:pPr>
              <w:pStyle w:val="ListParagraph"/>
              <w:numPr>
                <w:ilvl w:val="0"/>
                <w:numId w:val="31"/>
              </w:num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Ukupan broj učenika/</w:t>
            </w:r>
            <w:proofErr w:type="spellStart"/>
            <w:r w:rsidRPr="0033148D">
              <w:rPr>
                <w:rFonts w:ascii="Calibri" w:eastAsia="Times New Roman" w:hAnsi="Calibri" w:cs="Times New Roman"/>
                <w:color w:val="000000"/>
                <w:lang w:eastAsia="hr-HR"/>
              </w:rPr>
              <w:t>ca</w:t>
            </w:r>
            <w:proofErr w:type="spellEnd"/>
            <w:r w:rsidRPr="0033148D">
              <w:rPr>
                <w:rFonts w:ascii="Calibri" w:eastAsia="Times New Roman" w:hAnsi="Calibri" w:cs="Times New Roman"/>
                <w:color w:val="000000"/>
                <w:lang w:eastAsia="hr-HR"/>
              </w:rPr>
              <w:t xml:space="preserve"> do 200 po školskoj godini provedbe projekta (broj učenika, učenica i nastavnika i nastavnica koji će sudjelovati u provedbi aktivnosti projekta „U školi otvorene kohezije, ASOC“) educiranih o transparentnosti djelovanja posjećene institucije, upoznatih i osnaženih za razvoj kompetencija za sudjelovanje u procesima oblikovanja, odlučivanja i praćenja provedbe javnih politika i aktivnog građanstva</w:t>
            </w:r>
          </w:p>
        </w:tc>
      </w:tr>
      <w:tr w:rsidR="00347FBF" w:rsidRPr="0033148D" w14:paraId="416B6809" w14:textId="77777777" w:rsidTr="00BE54A2">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6B0B3AB6" w14:textId="6D4F055F" w:rsidR="00347FBF" w:rsidRPr="0033148D" w:rsidRDefault="00347FBF" w:rsidP="00903ACE">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lastRenderedPageBreak/>
              <w:t xml:space="preserve">Stupanj provedenosti: </w:t>
            </w:r>
          </w:p>
        </w:tc>
        <w:tc>
          <w:tcPr>
            <w:tcW w:w="255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8D83AE0"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0A576670"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56019FF7"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260" w:type="dxa"/>
            <w:tcBorders>
              <w:top w:val="single" w:sz="4" w:space="0" w:color="auto"/>
              <w:left w:val="nil"/>
              <w:bottom w:val="single" w:sz="4" w:space="0" w:color="auto"/>
              <w:right w:val="single" w:sz="4" w:space="0" w:color="auto"/>
            </w:tcBorders>
            <w:shd w:val="clear" w:color="000000" w:fill="F2F2F2"/>
            <w:vAlign w:val="center"/>
            <w:hideMark/>
          </w:tcPr>
          <w:p w14:paraId="1762B94C" w14:textId="77777777" w:rsidR="00347FBF" w:rsidRPr="0033148D" w:rsidRDefault="00347FBF"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347FBF" w:rsidRPr="0033148D" w14:paraId="21C95015" w14:textId="77777777" w:rsidTr="00BE54A2">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5082E96D" w14:textId="77777777" w:rsidR="00347FBF" w:rsidRPr="0033148D" w:rsidRDefault="00347FBF" w:rsidP="0033148D">
            <w:pPr>
              <w:spacing w:after="0" w:line="240" w:lineRule="auto"/>
              <w:rPr>
                <w:rFonts w:ascii="Calibri" w:eastAsia="Times New Roman" w:hAnsi="Calibri" w:cs="Times New Roman"/>
                <w:b/>
                <w:bCs/>
                <w:color w:val="000000"/>
                <w:lang w:eastAsia="hr-HR"/>
              </w:rPr>
            </w:pPr>
          </w:p>
        </w:tc>
        <w:tc>
          <w:tcPr>
            <w:tcW w:w="2556" w:type="dxa"/>
            <w:tcBorders>
              <w:top w:val="nil"/>
              <w:left w:val="nil"/>
              <w:bottom w:val="single" w:sz="4" w:space="0" w:color="auto"/>
              <w:right w:val="single" w:sz="4" w:space="0" w:color="auto"/>
            </w:tcBorders>
            <w:shd w:val="clear" w:color="auto" w:fill="auto"/>
            <w:noWrap/>
            <w:vAlign w:val="center"/>
            <w:hideMark/>
          </w:tcPr>
          <w:p w14:paraId="4941D15D" w14:textId="77777777" w:rsidR="00347FBF" w:rsidRPr="0033148D" w:rsidRDefault="00347FBF"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7D09C3A9" w14:textId="77777777" w:rsidR="00347FBF" w:rsidRPr="0033148D" w:rsidRDefault="00347FBF"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AA4134A" w14:textId="77777777" w:rsidR="00347FBF" w:rsidRPr="0033148D" w:rsidRDefault="00347FBF" w:rsidP="0033148D">
            <w:pPr>
              <w:spacing w:after="0" w:line="240" w:lineRule="auto"/>
              <w:jc w:val="center"/>
              <w:rPr>
                <w:rFonts w:ascii="Calibri" w:eastAsia="Times New Roman" w:hAnsi="Calibri" w:cs="Times New Roman"/>
                <w:color w:val="000000"/>
                <w:lang w:eastAsia="hr-HR"/>
              </w:rPr>
            </w:pPr>
          </w:p>
        </w:tc>
        <w:tc>
          <w:tcPr>
            <w:tcW w:w="3260" w:type="dxa"/>
            <w:tcBorders>
              <w:top w:val="nil"/>
              <w:left w:val="nil"/>
              <w:bottom w:val="single" w:sz="4" w:space="0" w:color="auto"/>
              <w:right w:val="single" w:sz="4" w:space="0" w:color="auto"/>
            </w:tcBorders>
            <w:shd w:val="clear" w:color="auto" w:fill="A8D08D" w:themeFill="accent6" w:themeFillTint="99"/>
            <w:noWrap/>
            <w:vAlign w:val="center"/>
            <w:hideMark/>
          </w:tcPr>
          <w:p w14:paraId="0385097A" w14:textId="77777777" w:rsidR="00347FBF" w:rsidRPr="0033148D" w:rsidRDefault="00347FBF"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347FBF" w:rsidRPr="0033148D" w14:paraId="52AEC8F3" w14:textId="77777777" w:rsidTr="00BE54A2">
        <w:trPr>
          <w:trHeight w:val="642"/>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3120966" w14:textId="572FCB48" w:rsidR="00347FBF" w:rsidRPr="0033148D" w:rsidRDefault="00347FBF"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061" w:type="dxa"/>
            <w:gridSpan w:val="4"/>
            <w:tcBorders>
              <w:top w:val="nil"/>
              <w:left w:val="nil"/>
              <w:bottom w:val="single" w:sz="4" w:space="0" w:color="auto"/>
              <w:right w:val="single" w:sz="4" w:space="0" w:color="auto"/>
            </w:tcBorders>
            <w:shd w:val="clear" w:color="auto" w:fill="auto"/>
            <w:noWrap/>
            <w:vAlign w:val="center"/>
          </w:tcPr>
          <w:p w14:paraId="25FF6ABE" w14:textId="4E84C178" w:rsidR="00347FBF" w:rsidRPr="0033148D" w:rsidRDefault="00347FBF"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Aktivnost je provedena u djelomično izmijenjenom obliku obzirom da je posjet održan Ministarstvu regionalnoga razvoja i Fakultetu elektrotehnike i računarstva u Zagrebu. U komunikaciji s profesorima ispitan je interes učenika te je dogovoren dnevni red. Dio učenika već je ranije imao prilike posjetiti Hrvatski sabor te je posjet fokusiran na visokoobrazovnu</w:t>
            </w:r>
            <w:r w:rsidR="00C543F8" w:rsidRPr="0033148D">
              <w:rPr>
                <w:rFonts w:ascii="Calibri" w:eastAsia="Times New Roman" w:hAnsi="Calibri" w:cs="Times New Roman"/>
                <w:color w:val="000000"/>
                <w:lang w:eastAsia="hr-HR"/>
              </w:rPr>
              <w:t xml:space="preserve"> ustanovu i Ministarstvo.</w:t>
            </w:r>
          </w:p>
        </w:tc>
      </w:tr>
      <w:tr w:rsidR="00347FBF" w:rsidRPr="0033148D" w14:paraId="5F067FA4" w14:textId="77777777" w:rsidTr="00BE54A2">
        <w:trPr>
          <w:trHeight w:val="1415"/>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65FE886" w14:textId="2D9F0FEB" w:rsidR="00347FBF" w:rsidRPr="0033148D" w:rsidRDefault="00347FBF" w:rsidP="00903AC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710889" w14:textId="54B6F5B4" w:rsidR="00347FBF" w:rsidRPr="0033148D" w:rsidRDefault="00347FBF" w:rsidP="007A4029">
            <w:pPr>
              <w:spacing w:after="12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Aktivnost je uspješno provedena, u aktivnosti je sudjelovalo oko 70 učenika i profesora obzirom da se timovi iz dviju škola nisu bili u mogućnosti odazvati pozivu.</w:t>
            </w:r>
          </w:p>
          <w:p w14:paraId="1A5C3914" w14:textId="74F7056B" w:rsidR="00347FBF" w:rsidRPr="0033148D" w:rsidRDefault="00347FBF" w:rsidP="007A4029">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Posjet je održan 11. prosinca 2023. godine. U prostorijama Ministarstva regionalnoga razvoja i fondova Europske unije održano je svečano primanje učenika i profesora kojima su tom prilikom uručene potvrde o sudjelovanju u projektu. Svečanosti su </w:t>
            </w:r>
            <w:proofErr w:type="spellStart"/>
            <w:r w:rsidRPr="0033148D">
              <w:rPr>
                <w:rFonts w:ascii="Calibri" w:eastAsia="Times New Roman" w:hAnsi="Calibri" w:cs="Times New Roman"/>
                <w:color w:val="000000"/>
                <w:lang w:eastAsia="hr-HR"/>
              </w:rPr>
              <w:t>nazočili</w:t>
            </w:r>
            <w:proofErr w:type="spellEnd"/>
            <w:r w:rsidRPr="0033148D">
              <w:rPr>
                <w:rFonts w:ascii="Calibri" w:eastAsia="Times New Roman" w:hAnsi="Calibri" w:cs="Times New Roman"/>
                <w:color w:val="000000"/>
                <w:lang w:eastAsia="hr-HR"/>
              </w:rPr>
              <w:t xml:space="preserve"> i predstavnici Ministarstva znanosti i obrazovanja te Ureda za udruge. Nakon programa u Ministarstvu koji je uključio prezentacije o provedbi EU projekata posjet je nastavljen na Fakultetu elektrotehnike i računarstva gdje su sudionici imali prilike čuti brojne zanimljivosti veza</w:t>
            </w:r>
            <w:r w:rsidR="00C543F8" w:rsidRPr="0033148D">
              <w:rPr>
                <w:rFonts w:ascii="Calibri" w:eastAsia="Times New Roman" w:hAnsi="Calibri" w:cs="Times New Roman"/>
                <w:color w:val="000000"/>
                <w:lang w:eastAsia="hr-HR"/>
              </w:rPr>
              <w:t>ne za implementaciju projekata.</w:t>
            </w:r>
          </w:p>
        </w:tc>
      </w:tr>
      <w:tr w:rsidR="00347FBF" w:rsidRPr="0033148D" w14:paraId="380BA2FF" w14:textId="77777777" w:rsidTr="00903ACE">
        <w:trPr>
          <w:trHeight w:val="397"/>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75BAC71" w14:textId="0B5247F8" w:rsidR="00347FBF" w:rsidRPr="0033148D" w:rsidRDefault="00347FBF"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2F33A2D" w14:textId="77777777"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347FBF" w:rsidRPr="0033148D" w14:paraId="544EFB12"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3178D187" w14:textId="2D2E592B" w:rsidR="00347FBF" w:rsidRPr="0033148D" w:rsidRDefault="00347FBF" w:rsidP="00903ACE">
            <w:pPr>
              <w:spacing w:after="0"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1061" w:type="dxa"/>
            <w:gridSpan w:val="4"/>
            <w:tcBorders>
              <w:top w:val="single" w:sz="4" w:space="0" w:color="auto"/>
              <w:left w:val="nil"/>
              <w:bottom w:val="single" w:sz="4" w:space="0" w:color="auto"/>
              <w:right w:val="single" w:sz="4" w:space="0" w:color="000000"/>
            </w:tcBorders>
            <w:shd w:val="clear" w:color="auto" w:fill="auto"/>
            <w:noWrap/>
            <w:vAlign w:val="center"/>
          </w:tcPr>
          <w:p w14:paraId="030AE710" w14:textId="0AC8EC37" w:rsidR="00347FBF" w:rsidRPr="0033148D" w:rsidRDefault="00347FBF"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Obzirom da se aktivnost provodi u suradnji i koordinaciji s kolegama iz talijanske Agencije za koheziju koji su ujedno idejni začetnici projekta Ministarstvo će se pravovremeno očitovati na njihov eventualni poziv na nastavak implementacije projekta.</w:t>
            </w:r>
          </w:p>
        </w:tc>
      </w:tr>
    </w:tbl>
    <w:p w14:paraId="1101EB0B" w14:textId="6855227D" w:rsidR="00541718" w:rsidRPr="0033148D" w:rsidRDefault="00541718" w:rsidP="0033148D">
      <w:pPr>
        <w:spacing w:line="240" w:lineRule="auto"/>
      </w:pPr>
    </w:p>
    <w:tbl>
      <w:tblPr>
        <w:tblW w:w="15316" w:type="dxa"/>
        <w:jc w:val="center"/>
        <w:tblLook w:val="04A0" w:firstRow="1" w:lastRow="0" w:firstColumn="1" w:lastColumn="0" w:noHBand="0" w:noVBand="1"/>
      </w:tblPr>
      <w:tblGrid>
        <w:gridCol w:w="2700"/>
        <w:gridCol w:w="2126"/>
        <w:gridCol w:w="2693"/>
        <w:gridCol w:w="2410"/>
        <w:gridCol w:w="2552"/>
        <w:gridCol w:w="2835"/>
      </w:tblGrid>
      <w:tr w:rsidR="0086194D" w:rsidRPr="0033148D" w14:paraId="7A360F51" w14:textId="77777777" w:rsidTr="00903ACE">
        <w:trPr>
          <w:trHeight w:val="431"/>
          <w:jc w:val="center"/>
        </w:trPr>
        <w:tc>
          <w:tcPr>
            <w:tcW w:w="15316" w:type="dxa"/>
            <w:gridSpan w:val="6"/>
            <w:tcBorders>
              <w:top w:val="single" w:sz="4" w:space="0" w:color="auto"/>
              <w:left w:val="single" w:sz="4" w:space="0" w:color="auto"/>
              <w:right w:val="single" w:sz="4" w:space="0" w:color="000000"/>
            </w:tcBorders>
            <w:shd w:val="clear" w:color="000000" w:fill="F2F2F2"/>
            <w:vAlign w:val="center"/>
          </w:tcPr>
          <w:p w14:paraId="20EE8A22" w14:textId="30DFAA51" w:rsidR="0086194D" w:rsidRPr="0033148D" w:rsidRDefault="009E1518" w:rsidP="0033148D">
            <w:pPr>
              <w:spacing w:after="0" w:line="240" w:lineRule="auto"/>
              <w:rPr>
                <w:rFonts w:ascii="Calibri" w:eastAsia="Times New Roman" w:hAnsi="Calibri" w:cs="Times New Roman"/>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16.3. Održati edukativni posjet srednjoškolskih učenika/</w:t>
            </w:r>
            <w:proofErr w:type="spellStart"/>
            <w:r w:rsidR="0086194D" w:rsidRPr="0033148D">
              <w:rPr>
                <w:rFonts w:ascii="Calibri" w:eastAsia="Times New Roman" w:hAnsi="Calibri" w:cs="Times New Roman"/>
                <w:b/>
                <w:bCs/>
                <w:color w:val="000000"/>
                <w:lang w:eastAsia="hr-HR"/>
              </w:rPr>
              <w:t>ca</w:t>
            </w:r>
            <w:proofErr w:type="spellEnd"/>
            <w:r w:rsidR="0086194D" w:rsidRPr="0033148D">
              <w:rPr>
                <w:rFonts w:ascii="Calibri" w:eastAsia="Times New Roman" w:hAnsi="Calibri" w:cs="Times New Roman"/>
                <w:b/>
                <w:bCs/>
                <w:color w:val="000000"/>
                <w:lang w:eastAsia="hr-HR"/>
              </w:rPr>
              <w:t xml:space="preserve"> lokalnim ili regionalnim institucijama</w:t>
            </w:r>
            <w:r w:rsidR="005F65E3" w:rsidRPr="0033148D">
              <w:rPr>
                <w:rFonts w:ascii="Calibri" w:eastAsia="Times New Roman" w:hAnsi="Calibri" w:cs="Times New Roman"/>
                <w:b/>
                <w:bCs/>
                <w:color w:val="000000"/>
                <w:lang w:eastAsia="hr-HR"/>
              </w:rPr>
              <w:t xml:space="preserve"> </w:t>
            </w:r>
            <w:r w:rsidR="0086194D" w:rsidRPr="0033148D">
              <w:rPr>
                <w:rFonts w:ascii="Calibri" w:eastAsia="Times New Roman" w:hAnsi="Calibri" w:cs="Times New Roman"/>
                <w:b/>
                <w:bCs/>
                <w:color w:val="000000"/>
                <w:lang w:eastAsia="hr-HR"/>
              </w:rPr>
              <w:t>(općina/grad/županija)</w:t>
            </w:r>
          </w:p>
        </w:tc>
      </w:tr>
      <w:tr w:rsidR="0086194D" w:rsidRPr="0033148D" w14:paraId="03E3F5A8" w14:textId="77777777" w:rsidTr="00903ACE">
        <w:trPr>
          <w:trHeight w:val="431"/>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13076B40" w14:textId="705FA2A4" w:rsidR="0086194D" w:rsidRPr="0033148D" w:rsidRDefault="00C543F8"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EAA3C9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regionalnoga razvoja i fondova Europske unije</w:t>
            </w:r>
          </w:p>
        </w:tc>
      </w:tr>
      <w:tr w:rsidR="0086194D" w:rsidRPr="0033148D" w14:paraId="7A676254" w14:textId="77777777" w:rsidTr="00903ACE">
        <w:trPr>
          <w:trHeight w:val="431"/>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A9E368A" w14:textId="07A92AAF"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t>Sunositelj</w:t>
            </w:r>
            <w:proofErr w:type="spellEnd"/>
            <w:r w:rsidRPr="0033148D">
              <w:rPr>
                <w:rFonts w:ascii="Calibri" w:eastAsia="Times New Roman" w:hAnsi="Calibri" w:cs="Times New Roman"/>
                <w:b/>
                <w:bCs/>
                <w:color w:val="000000"/>
                <w:lang w:eastAsia="hr-HR"/>
              </w:rPr>
              <w:t>(i) aktivnosti:</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129F0AA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znanosti i obrazovanja, Ured za udruge Vlade Republike Hrvatske</w:t>
            </w:r>
          </w:p>
        </w:tc>
      </w:tr>
      <w:tr w:rsidR="0086194D" w:rsidRPr="0033148D" w14:paraId="4908738B" w14:textId="77777777" w:rsidTr="003E36ED">
        <w:trPr>
          <w:trHeight w:val="228"/>
          <w:jc w:val="center"/>
        </w:trPr>
        <w:tc>
          <w:tcPr>
            <w:tcW w:w="27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B34384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4D60277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7CD66C5F"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Jedinice lokalne i regionalne samouprave te javne ustanove i drugi dionici iz sljedećih županija: Primorsko-goranska, Karlovačka, Splitsko-dalmatinska, Zadarska te Dubrovačko-neretvanska</w:t>
            </w:r>
          </w:p>
        </w:tc>
      </w:tr>
      <w:tr w:rsidR="0086194D" w:rsidRPr="0033148D" w14:paraId="006F110D" w14:textId="77777777" w:rsidTr="003E36ED">
        <w:trPr>
          <w:trHeight w:val="70"/>
          <w:jc w:val="center"/>
        </w:trPr>
        <w:tc>
          <w:tcPr>
            <w:tcW w:w="2700" w:type="dxa"/>
            <w:vMerge/>
            <w:tcBorders>
              <w:top w:val="nil"/>
              <w:left w:val="single" w:sz="4" w:space="0" w:color="auto"/>
              <w:bottom w:val="single" w:sz="4" w:space="0" w:color="auto"/>
              <w:right w:val="single" w:sz="4" w:space="0" w:color="auto"/>
            </w:tcBorders>
            <w:vAlign w:val="center"/>
            <w:hideMark/>
          </w:tcPr>
          <w:p w14:paraId="64457F39"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592EA4D8"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6D76C4F6" w14:textId="5DF65286" w:rsidR="0086194D" w:rsidRPr="0033148D" w:rsidRDefault="00541718"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9A54D86" w14:textId="77777777" w:rsidTr="00903ACE">
        <w:trPr>
          <w:trHeight w:val="431"/>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1F033D47" w14:textId="05051D68" w:rsidR="0086194D" w:rsidRPr="0033148D" w:rsidRDefault="0086194D"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5A527D7F"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Školska godina 2022./2023.</w:t>
            </w:r>
            <w:r w:rsidR="005F65E3" w:rsidRPr="0033148D">
              <w:rPr>
                <w:rFonts w:ascii="Calibri" w:eastAsia="Times New Roman" w:hAnsi="Calibri" w:cs="Times New Roman"/>
                <w:color w:val="000000"/>
                <w:lang w:eastAsia="hr-HR"/>
              </w:rPr>
              <w:t xml:space="preserve"> (rujan 2022.)</w:t>
            </w:r>
          </w:p>
        </w:tc>
      </w:tr>
      <w:tr w:rsidR="0086194D" w:rsidRPr="0033148D" w14:paraId="4F0DB558" w14:textId="77777777" w:rsidTr="00903ACE">
        <w:trPr>
          <w:trHeight w:val="431"/>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08D70D73" w14:textId="34DA95AF"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r w:rsidR="00903ACE">
              <w:rPr>
                <w:rFonts w:ascii="Calibri" w:eastAsia="Times New Roman" w:hAnsi="Calibri" w:cs="Times New Roman"/>
                <w:bCs/>
                <w:i/>
                <w:color w:val="000000"/>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3D2BA961"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Školska godina 2022./2023.</w:t>
            </w:r>
            <w:r w:rsidR="005F65E3" w:rsidRPr="0033148D">
              <w:rPr>
                <w:rFonts w:ascii="Calibri" w:eastAsia="Times New Roman" w:hAnsi="Calibri" w:cs="Times New Roman"/>
                <w:color w:val="000000"/>
                <w:lang w:eastAsia="hr-HR"/>
              </w:rPr>
              <w:t xml:space="preserve"> (lipanj 2023.)</w:t>
            </w:r>
          </w:p>
        </w:tc>
      </w:tr>
      <w:tr w:rsidR="0086194D" w:rsidRPr="0033148D" w14:paraId="09C788EA" w14:textId="77777777" w:rsidTr="003E36ED">
        <w:trPr>
          <w:trHeight w:val="300"/>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BF2D944" w14:textId="7777777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Pokazatelji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tcPr>
          <w:p w14:paraId="0E85FFEA" w14:textId="77777777" w:rsidR="0086194D" w:rsidRPr="0033148D" w:rsidRDefault="0086194D" w:rsidP="0033148D">
            <w:pPr>
              <w:pStyle w:val="ListParagraph"/>
              <w:numPr>
                <w:ilvl w:val="0"/>
                <w:numId w:val="32"/>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Organizirani edukativni posjeti minimalno 4 regionalnih/lokanih institucija za minimalno 4 skupine učenika/</w:t>
            </w:r>
            <w:proofErr w:type="spellStart"/>
            <w:r w:rsidRPr="0033148D">
              <w:rPr>
                <w:rFonts w:ascii="Calibri" w:eastAsia="Times New Roman" w:hAnsi="Calibri" w:cs="Times New Roman"/>
                <w:color w:val="000000"/>
                <w:lang w:eastAsia="hr-HR"/>
              </w:rPr>
              <w:t>ca</w:t>
            </w:r>
            <w:proofErr w:type="spellEnd"/>
            <w:r w:rsidRPr="0033148D">
              <w:rPr>
                <w:rFonts w:ascii="Calibri" w:eastAsia="Times New Roman" w:hAnsi="Calibri" w:cs="Times New Roman"/>
                <w:color w:val="000000"/>
                <w:lang w:eastAsia="hr-HR"/>
              </w:rPr>
              <w:t xml:space="preserve"> i nastavnika/</w:t>
            </w:r>
            <w:proofErr w:type="spellStart"/>
            <w:r w:rsidRPr="0033148D">
              <w:rPr>
                <w:rFonts w:ascii="Calibri" w:eastAsia="Times New Roman" w:hAnsi="Calibri" w:cs="Times New Roman"/>
                <w:color w:val="000000"/>
                <w:lang w:eastAsia="hr-HR"/>
              </w:rPr>
              <w:t>ca</w:t>
            </w:r>
            <w:proofErr w:type="spellEnd"/>
            <w:r w:rsidRPr="0033148D">
              <w:rPr>
                <w:rFonts w:ascii="Calibri" w:eastAsia="Times New Roman" w:hAnsi="Calibri" w:cs="Times New Roman"/>
                <w:color w:val="000000"/>
                <w:lang w:eastAsia="hr-HR"/>
              </w:rPr>
              <w:t xml:space="preserve"> uključenih u provedbu projekta „U školi otvorene kohezije, ASOC“, oko 100 sudionika edukativnih posjeta u školskoj godini provedbe projekta „U školi otvorene kohezije, ASOC“ </w:t>
            </w:r>
          </w:p>
          <w:p w14:paraId="45B7714D" w14:textId="77777777" w:rsidR="0086194D" w:rsidRPr="0033148D" w:rsidRDefault="0086194D" w:rsidP="0033148D">
            <w:pPr>
              <w:pStyle w:val="ListParagraph"/>
              <w:numPr>
                <w:ilvl w:val="0"/>
                <w:numId w:val="32"/>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Ukupan broj učenika/</w:t>
            </w:r>
            <w:proofErr w:type="spellStart"/>
            <w:r w:rsidRPr="0033148D">
              <w:rPr>
                <w:rFonts w:ascii="Calibri" w:eastAsia="Times New Roman" w:hAnsi="Calibri" w:cs="Times New Roman"/>
                <w:color w:val="000000"/>
                <w:lang w:eastAsia="hr-HR"/>
              </w:rPr>
              <w:t>ca</w:t>
            </w:r>
            <w:proofErr w:type="spellEnd"/>
            <w:r w:rsidRPr="0033148D">
              <w:rPr>
                <w:rFonts w:ascii="Calibri" w:eastAsia="Times New Roman" w:hAnsi="Calibri" w:cs="Times New Roman"/>
                <w:color w:val="000000"/>
                <w:lang w:eastAsia="hr-HR"/>
              </w:rPr>
              <w:t xml:space="preserve"> oko 100 po školskoj godini provedbe projekta (broj učenika, učenica i nastavnika i nastavnica koji će sudjelovati u provedbi aktivnosti projekta „U školi otvorene kohezije, ASOC“) educiranih o transparentnosti djelovanja posjećene institucije, upoznatih i osnaženih za razvoj kompetencija za sudjelovanje u procesima oblikovanja, odlučivanja i praćenja provedbe javnih lokalnih i regionalnih politika i aktivnog građanstva u lokalnim zajednicama </w:t>
            </w:r>
          </w:p>
          <w:p w14:paraId="298260C7" w14:textId="77777777" w:rsidR="0086194D" w:rsidRPr="0033148D" w:rsidRDefault="0086194D" w:rsidP="0033148D">
            <w:pPr>
              <w:pStyle w:val="ListParagraph"/>
              <w:numPr>
                <w:ilvl w:val="0"/>
                <w:numId w:val="32"/>
              </w:num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Broj organiziranih edukativnih posjeta lokalnim ili regionalnim institucijama</w:t>
            </w:r>
          </w:p>
        </w:tc>
      </w:tr>
      <w:tr w:rsidR="0086194D" w:rsidRPr="0033148D" w14:paraId="22EB1E81" w14:textId="77777777" w:rsidTr="003E36ED">
        <w:trPr>
          <w:trHeight w:val="718"/>
          <w:jc w:val="center"/>
        </w:trPr>
        <w:tc>
          <w:tcPr>
            <w:tcW w:w="482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0780E446" w14:textId="4EF1B87E"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
                <w:bCs/>
                <w:color w:val="000000"/>
                <w:lang w:eastAsia="hr-HR"/>
              </w:rPr>
              <w:t xml:space="preserve">Stupanj provedenosti: </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6C20F8B"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410" w:type="dxa"/>
            <w:tcBorders>
              <w:top w:val="single" w:sz="4" w:space="0" w:color="auto"/>
              <w:left w:val="nil"/>
              <w:bottom w:val="single" w:sz="4" w:space="0" w:color="auto"/>
              <w:right w:val="single" w:sz="4" w:space="0" w:color="auto"/>
            </w:tcBorders>
            <w:shd w:val="clear" w:color="000000" w:fill="F2F2F2"/>
            <w:vAlign w:val="center"/>
            <w:hideMark/>
          </w:tcPr>
          <w:p w14:paraId="0DDB3798"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2DF06B81"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2835" w:type="dxa"/>
            <w:tcBorders>
              <w:top w:val="single" w:sz="4" w:space="0" w:color="auto"/>
              <w:left w:val="nil"/>
              <w:bottom w:val="single" w:sz="4" w:space="0" w:color="auto"/>
              <w:right w:val="single" w:sz="4" w:space="0" w:color="auto"/>
            </w:tcBorders>
            <w:shd w:val="clear" w:color="000000" w:fill="F2F2F2"/>
            <w:vAlign w:val="center"/>
            <w:hideMark/>
          </w:tcPr>
          <w:p w14:paraId="7B5910EC"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058127C6" w14:textId="77777777" w:rsidTr="003E36ED">
        <w:trPr>
          <w:trHeight w:val="642"/>
          <w:jc w:val="center"/>
        </w:trPr>
        <w:tc>
          <w:tcPr>
            <w:tcW w:w="4826" w:type="dxa"/>
            <w:gridSpan w:val="2"/>
            <w:vMerge/>
            <w:tcBorders>
              <w:top w:val="single" w:sz="4" w:space="0" w:color="auto"/>
              <w:left w:val="single" w:sz="4" w:space="0" w:color="auto"/>
              <w:bottom w:val="single" w:sz="4" w:space="0" w:color="000000"/>
              <w:right w:val="single" w:sz="4" w:space="0" w:color="000000"/>
            </w:tcBorders>
            <w:vAlign w:val="center"/>
            <w:hideMark/>
          </w:tcPr>
          <w:p w14:paraId="30FDFC94"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1ACF78B5"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410" w:type="dxa"/>
            <w:tcBorders>
              <w:top w:val="nil"/>
              <w:left w:val="nil"/>
              <w:bottom w:val="single" w:sz="4" w:space="0" w:color="auto"/>
              <w:right w:val="single" w:sz="4" w:space="0" w:color="auto"/>
            </w:tcBorders>
            <w:shd w:val="clear" w:color="auto" w:fill="auto"/>
            <w:noWrap/>
            <w:vAlign w:val="center"/>
            <w:hideMark/>
          </w:tcPr>
          <w:p w14:paraId="24568169"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FFE599" w:themeFill="accent4" w:themeFillTint="66"/>
            <w:noWrap/>
            <w:vAlign w:val="center"/>
            <w:hideMark/>
          </w:tcPr>
          <w:p w14:paraId="25AF61D4"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c>
          <w:tcPr>
            <w:tcW w:w="2835" w:type="dxa"/>
            <w:tcBorders>
              <w:top w:val="nil"/>
              <w:left w:val="nil"/>
              <w:bottom w:val="single" w:sz="4" w:space="0" w:color="auto"/>
              <w:right w:val="single" w:sz="4" w:space="0" w:color="auto"/>
            </w:tcBorders>
            <w:shd w:val="clear" w:color="auto" w:fill="auto"/>
            <w:noWrap/>
            <w:vAlign w:val="center"/>
            <w:hideMark/>
          </w:tcPr>
          <w:p w14:paraId="5448BCD5"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r>
      <w:tr w:rsidR="0086194D" w:rsidRPr="0033148D" w14:paraId="79089EB9" w14:textId="77777777" w:rsidTr="003E36ED">
        <w:trPr>
          <w:trHeight w:val="642"/>
          <w:jc w:val="center"/>
        </w:trPr>
        <w:tc>
          <w:tcPr>
            <w:tcW w:w="482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46DF9C17" w14:textId="675A5AEB" w:rsidR="0086194D" w:rsidRPr="0033148D" w:rsidRDefault="0086194D"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Izmjene aktivnosti: </w:t>
            </w:r>
          </w:p>
        </w:tc>
        <w:tc>
          <w:tcPr>
            <w:tcW w:w="10490" w:type="dxa"/>
            <w:gridSpan w:val="4"/>
            <w:tcBorders>
              <w:top w:val="nil"/>
              <w:left w:val="nil"/>
              <w:bottom w:val="single" w:sz="4" w:space="0" w:color="auto"/>
              <w:right w:val="single" w:sz="4" w:space="0" w:color="auto"/>
            </w:tcBorders>
            <w:shd w:val="clear" w:color="auto" w:fill="auto"/>
            <w:noWrap/>
            <w:vAlign w:val="center"/>
          </w:tcPr>
          <w:p w14:paraId="0B73EAF0"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Tijekom mrežnih edukacija djelatnici Ministarstva su poticali voditelje timova na kontakt s lokalnim i regionalnim dionicima te, u mnogim slučajevima, facilitirali njihovu komunikaciju. Stoga su, u okviru provedbe projekta, voditelji timova i učenici imali priliku posjetiti ili održati razgovore s predstavnicima jedinica lokalne i regionalne samouprave te predstavnicima civilnog društva.</w:t>
            </w:r>
          </w:p>
        </w:tc>
      </w:tr>
      <w:tr w:rsidR="0086194D" w:rsidRPr="0033148D" w14:paraId="774530DA" w14:textId="77777777" w:rsidTr="00903ACE">
        <w:trPr>
          <w:trHeight w:val="1318"/>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5ABE1F7C" w14:textId="47CBFD0E" w:rsidR="0086194D" w:rsidRPr="0033148D" w:rsidRDefault="0086194D" w:rsidP="00903AC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CE92534" w14:textId="2830681C" w:rsidR="0086194D" w:rsidRPr="0033148D" w:rsidRDefault="0086194D" w:rsidP="0033148D">
            <w:pPr>
              <w:spacing w:after="0" w:line="240" w:lineRule="auto"/>
              <w:jc w:val="both"/>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Aktivnost je uspješno provedena, iako ne u direktnoj organizaciji Ministarstva, no svakako uz podršku i olakšavanje kontakata. Naime, jedna od projektnih aktivnosti predviđa terenski posjet te je u okviru iste uspostavljena komunikacija između škola sudionica i dionika s lokalne odnosno regionalne razine. Projektni timovi su iskazali veliko zadovoljstvo ostvarenim kontaktima te razinom dodatnih informacija nužnih za provedbu projekta koje su doznali s lokalne/regionalne razine.</w:t>
            </w:r>
          </w:p>
        </w:tc>
      </w:tr>
      <w:tr w:rsidR="0086194D" w:rsidRPr="0033148D" w14:paraId="24FB0356" w14:textId="77777777" w:rsidTr="00903ACE">
        <w:trPr>
          <w:trHeight w:val="431"/>
          <w:jc w:val="center"/>
        </w:trPr>
        <w:tc>
          <w:tcPr>
            <w:tcW w:w="482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A8B29A7" w14:textId="6573EE23" w:rsidR="0086194D" w:rsidRPr="0033148D" w:rsidRDefault="0086194D"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Dodatne informacije:</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7C9D4F1" w14:textId="77777777" w:rsidR="0086194D" w:rsidRPr="0033148D" w:rsidRDefault="005F65E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647F7A0B" w14:textId="77777777" w:rsidTr="00903ACE">
        <w:trPr>
          <w:trHeight w:val="841"/>
          <w:jc w:val="center"/>
        </w:trPr>
        <w:tc>
          <w:tcPr>
            <w:tcW w:w="482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CBBAF4A" w14:textId="22D63813" w:rsidR="0086194D" w:rsidRPr="0033148D" w:rsidRDefault="0086194D" w:rsidP="00903ACE">
            <w:pPr>
              <w:spacing w:line="240" w:lineRule="auto"/>
              <w:rPr>
                <w:rFonts w:ascii="Calibri" w:eastAsia="Times New Roman" w:hAnsi="Calibri" w:cs="Times New Roman"/>
                <w:color w:val="000000"/>
                <w:lang w:eastAsia="hr-HR"/>
              </w:rPr>
            </w:pPr>
            <w:r w:rsidRPr="0033148D">
              <w:rPr>
                <w:b/>
                <w:bCs/>
                <w:lang w:eastAsia="hr-HR"/>
              </w:rPr>
              <w:t>Sljedeći koraci</w:t>
            </w:r>
            <w:r w:rsidRPr="0033148D">
              <w:rPr>
                <w:b/>
                <w:bCs/>
                <w:i/>
                <w:iCs/>
                <w:lang w:eastAsia="hr-HR"/>
              </w:rPr>
              <w:t>:</w:t>
            </w:r>
          </w:p>
        </w:tc>
        <w:tc>
          <w:tcPr>
            <w:tcW w:w="1049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7409ACC" w14:textId="77777777"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Obzirom da se aktivnost provodi u suradnji i koordinaciji s kolegama iz talijanske Agencije za koheziju koji su ujedno idejni začetnici projekta Ministarstvo će se pravovremeno očitovati na njihov eventualni poziv na nastavak implementacije projekta.</w:t>
            </w:r>
          </w:p>
        </w:tc>
      </w:tr>
    </w:tbl>
    <w:p w14:paraId="0979F475" w14:textId="77777777" w:rsidR="0086194D" w:rsidRPr="0033148D" w:rsidRDefault="0086194D" w:rsidP="0033148D">
      <w:pPr>
        <w:spacing w:line="240" w:lineRule="auto"/>
      </w:pPr>
    </w:p>
    <w:tbl>
      <w:tblPr>
        <w:tblW w:w="15304" w:type="dxa"/>
        <w:jc w:val="center"/>
        <w:tblLook w:val="04A0" w:firstRow="1" w:lastRow="0" w:firstColumn="1" w:lastColumn="0" w:noHBand="0" w:noVBand="1"/>
      </w:tblPr>
      <w:tblGrid>
        <w:gridCol w:w="1980"/>
        <w:gridCol w:w="2126"/>
        <w:gridCol w:w="2693"/>
        <w:gridCol w:w="2552"/>
        <w:gridCol w:w="2693"/>
        <w:gridCol w:w="3260"/>
      </w:tblGrid>
      <w:tr w:rsidR="0086194D" w:rsidRPr="0033148D" w14:paraId="0C3A650A" w14:textId="77777777" w:rsidTr="009E1518">
        <w:trPr>
          <w:trHeight w:val="70"/>
          <w:jc w:val="center"/>
        </w:trPr>
        <w:tc>
          <w:tcPr>
            <w:tcW w:w="153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984276" w14:textId="2B36552C" w:rsidR="0086194D" w:rsidRPr="0033148D" w:rsidRDefault="009E1518" w:rsidP="0033148D">
            <w:pPr>
              <w:spacing w:after="0" w:line="240" w:lineRule="auto"/>
              <w:jc w:val="center"/>
              <w:rPr>
                <w:rFonts w:ascii="Calibri" w:eastAsia="Times New Roman" w:hAnsi="Calibri" w:cs="Times New Roman"/>
                <w:b/>
                <w:bCs/>
                <w:color w:val="000000"/>
                <w:lang w:eastAsia="hr-HR"/>
              </w:rPr>
            </w:pPr>
            <w:r w:rsidRPr="0033148D">
              <w:rPr>
                <w:b/>
              </w:rPr>
              <w:t xml:space="preserve">Aktivnost </w:t>
            </w:r>
            <w:r w:rsidR="0086194D" w:rsidRPr="0033148D">
              <w:rPr>
                <w:rFonts w:ascii="Calibri" w:eastAsia="Times New Roman" w:hAnsi="Calibri" w:cs="Times New Roman"/>
                <w:b/>
                <w:bCs/>
                <w:color w:val="000000"/>
                <w:lang w:eastAsia="hr-HR"/>
              </w:rPr>
              <w:t xml:space="preserve">16.4 - </w:t>
            </w:r>
            <w:r w:rsidR="0086194D" w:rsidRPr="0033148D">
              <w:rPr>
                <w:b/>
              </w:rPr>
              <w:t xml:space="preserve">Uključivati vrijednosti i sadržaje na kojima se temelji inicijativa Partnerstvo za otvorenu vlast u Kurikulum građanskog odgoja i obrazovanja, Kurikulum Politike i gospodarstva, u programe kontinuiranoga profesionalnog razvoja učitelja, nastavnika i stručnih suradnika, u natjecanja i smotre u organizaciji Agencije za odgoj i obrazovanje te sufinanciranjem projekata organizacija civilnoga društva u okviru </w:t>
            </w:r>
            <w:r w:rsidR="0086194D" w:rsidRPr="0033148D">
              <w:rPr>
                <w:b/>
                <w:bCs/>
              </w:rPr>
              <w:t>Natječaja</w:t>
            </w:r>
            <w:r w:rsidR="0086194D" w:rsidRPr="0033148D">
              <w:rPr>
                <w:b/>
              </w:rPr>
              <w:t xml:space="preserve"> </w:t>
            </w:r>
            <w:r w:rsidR="0086194D" w:rsidRPr="0033148D">
              <w:rPr>
                <w:b/>
                <w:bCs/>
              </w:rPr>
              <w:t>za dodjelu bespovratnih sredstava projektima udruga</w:t>
            </w:r>
            <w:r w:rsidR="0086194D" w:rsidRPr="0033148D">
              <w:rPr>
                <w:b/>
              </w:rPr>
              <w:t xml:space="preserve"> </w:t>
            </w:r>
            <w:r w:rsidR="0086194D" w:rsidRPr="0033148D">
              <w:rPr>
                <w:b/>
                <w:bCs/>
              </w:rPr>
              <w:t>u području izvaninstitucionalnoga odgoja i obrazovanja djece i mladih</w:t>
            </w:r>
          </w:p>
        </w:tc>
      </w:tr>
      <w:tr w:rsidR="0086194D" w:rsidRPr="0033148D" w14:paraId="755A639E"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669220D6" w14:textId="0DBF8FD0"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Nositelj aktivnosti: </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F02B159" w14:textId="6686701A" w:rsidR="0086194D" w:rsidRPr="0033148D" w:rsidRDefault="0086194D"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regionalnog</w:t>
            </w:r>
            <w:r w:rsidR="000E38BD" w:rsidRPr="0033148D">
              <w:rPr>
                <w:rFonts w:ascii="Calibri" w:eastAsia="Times New Roman" w:hAnsi="Calibri" w:cs="Times New Roman"/>
                <w:color w:val="000000"/>
                <w:lang w:eastAsia="hr-HR"/>
              </w:rPr>
              <w:t>a</w:t>
            </w:r>
            <w:r w:rsidRPr="0033148D">
              <w:rPr>
                <w:rFonts w:ascii="Calibri" w:eastAsia="Times New Roman" w:hAnsi="Calibri" w:cs="Times New Roman"/>
                <w:color w:val="000000"/>
                <w:lang w:eastAsia="hr-HR"/>
              </w:rPr>
              <w:t xml:space="preserve"> razvoja i fondova Europske unije</w:t>
            </w:r>
          </w:p>
        </w:tc>
      </w:tr>
      <w:tr w:rsidR="0086194D" w:rsidRPr="0033148D" w14:paraId="490B57D8"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95C1830" w14:textId="2C73D84A" w:rsidR="0086194D" w:rsidRPr="0033148D" w:rsidRDefault="00C543F8" w:rsidP="0033148D">
            <w:pPr>
              <w:spacing w:after="0" w:line="240" w:lineRule="auto"/>
              <w:rPr>
                <w:rFonts w:ascii="Calibri" w:eastAsia="Times New Roman" w:hAnsi="Calibri" w:cs="Times New Roman"/>
                <w:b/>
                <w:bCs/>
                <w:color w:val="000000"/>
                <w:lang w:eastAsia="hr-HR"/>
              </w:rPr>
            </w:pPr>
            <w:proofErr w:type="spellStart"/>
            <w:r w:rsidRPr="0033148D">
              <w:rPr>
                <w:rFonts w:ascii="Calibri" w:eastAsia="Times New Roman" w:hAnsi="Calibri" w:cs="Times New Roman"/>
                <w:b/>
                <w:bCs/>
                <w:color w:val="000000"/>
                <w:lang w:eastAsia="hr-HR"/>
              </w:rPr>
              <w:lastRenderedPageBreak/>
              <w:t>Sunositelj</w:t>
            </w:r>
            <w:proofErr w:type="spellEnd"/>
            <w:r w:rsidRPr="0033148D">
              <w:rPr>
                <w:rFonts w:ascii="Calibri" w:eastAsia="Times New Roman" w:hAnsi="Calibri" w:cs="Times New Roman"/>
                <w:b/>
                <w:bCs/>
                <w:color w:val="000000"/>
                <w:lang w:eastAsia="hr-HR"/>
              </w:rPr>
              <w:t>(i) aktivnosti:</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4D18BCAF" w14:textId="01D01828" w:rsidR="0086194D" w:rsidRPr="0033148D" w:rsidRDefault="008C63FE"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Ministarstvo znanosti i obrazovanja, Agencija za odgoj i obrazovanje, Ured za udruge</w:t>
            </w:r>
            <w:r w:rsidR="00824F64" w:rsidRPr="0033148D">
              <w:rPr>
                <w:rFonts w:ascii="Calibri" w:eastAsia="Times New Roman" w:hAnsi="Calibri" w:cs="Times New Roman"/>
                <w:color w:val="000000"/>
                <w:lang w:eastAsia="hr-HR"/>
              </w:rPr>
              <w:t xml:space="preserve"> Vlade Republike Hrvatske</w:t>
            </w:r>
          </w:p>
        </w:tc>
      </w:tr>
      <w:tr w:rsidR="0086194D" w:rsidRPr="0033148D" w14:paraId="4ACBE1F8" w14:textId="77777777" w:rsidTr="004364EA">
        <w:trPr>
          <w:trHeight w:val="228"/>
          <w:jc w:val="center"/>
        </w:trPr>
        <w:tc>
          <w:tcPr>
            <w:tcW w:w="1980" w:type="dxa"/>
            <w:vMerge w:val="restart"/>
            <w:tcBorders>
              <w:top w:val="nil"/>
              <w:left w:val="single" w:sz="4" w:space="0" w:color="auto"/>
              <w:bottom w:val="single" w:sz="4" w:space="0" w:color="auto"/>
              <w:right w:val="single" w:sz="4" w:space="0" w:color="auto"/>
            </w:tcBorders>
            <w:shd w:val="clear" w:color="000000" w:fill="F2F2F2"/>
            <w:vAlign w:val="center"/>
            <w:hideMark/>
          </w:tcPr>
          <w:p w14:paraId="5335E43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Drugi uključeni akteri: </w:t>
            </w:r>
          </w:p>
        </w:tc>
        <w:tc>
          <w:tcPr>
            <w:tcW w:w="2126" w:type="dxa"/>
            <w:tcBorders>
              <w:top w:val="nil"/>
              <w:left w:val="nil"/>
              <w:bottom w:val="single" w:sz="4" w:space="0" w:color="auto"/>
              <w:right w:val="single" w:sz="4" w:space="0" w:color="auto"/>
            </w:tcBorders>
            <w:shd w:val="clear" w:color="000000" w:fill="F2F2F2"/>
            <w:vAlign w:val="center"/>
            <w:hideMark/>
          </w:tcPr>
          <w:p w14:paraId="5581F224"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Javni sektor: </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75334430" w14:textId="4760615E" w:rsidR="0086194D" w:rsidRPr="0033148D" w:rsidRDefault="008430B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627F2CE9" w14:textId="77777777" w:rsidTr="004364EA">
        <w:trPr>
          <w:trHeight w:val="70"/>
          <w:jc w:val="center"/>
        </w:trPr>
        <w:tc>
          <w:tcPr>
            <w:tcW w:w="1980" w:type="dxa"/>
            <w:vMerge/>
            <w:tcBorders>
              <w:top w:val="nil"/>
              <w:left w:val="single" w:sz="4" w:space="0" w:color="auto"/>
              <w:bottom w:val="single" w:sz="4" w:space="0" w:color="auto"/>
              <w:right w:val="single" w:sz="4" w:space="0" w:color="auto"/>
            </w:tcBorders>
            <w:vAlign w:val="center"/>
            <w:hideMark/>
          </w:tcPr>
          <w:p w14:paraId="0AA8BCBE"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126" w:type="dxa"/>
            <w:tcBorders>
              <w:top w:val="nil"/>
              <w:left w:val="nil"/>
              <w:bottom w:val="single" w:sz="4" w:space="0" w:color="auto"/>
              <w:right w:val="single" w:sz="4" w:space="0" w:color="auto"/>
            </w:tcBorders>
            <w:shd w:val="clear" w:color="000000" w:fill="F2F2F2"/>
            <w:vAlign w:val="center"/>
            <w:hideMark/>
          </w:tcPr>
          <w:p w14:paraId="065D69B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OCD, privatni sektor, radne skupine, </w:t>
            </w:r>
            <w:proofErr w:type="spellStart"/>
            <w:r w:rsidRPr="0033148D">
              <w:rPr>
                <w:rFonts w:ascii="Calibri" w:eastAsia="Times New Roman" w:hAnsi="Calibri" w:cs="Times New Roman"/>
                <w:b/>
                <w:bCs/>
                <w:color w:val="000000"/>
                <w:lang w:eastAsia="hr-HR"/>
              </w:rPr>
              <w:t>multilaterale</w:t>
            </w:r>
            <w:proofErr w:type="spellEnd"/>
            <w:r w:rsidRPr="0033148D">
              <w:rPr>
                <w:rFonts w:ascii="Calibri" w:eastAsia="Times New Roman" w:hAnsi="Calibri" w:cs="Times New Roman"/>
                <w:b/>
                <w:bCs/>
                <w:color w:val="000000"/>
                <w:lang w:eastAsia="hr-HR"/>
              </w:rPr>
              <w:t xml:space="preserve">: </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48AE51A6" w14:textId="76B93142" w:rsidR="0086194D" w:rsidRPr="0033148D" w:rsidRDefault="00824F6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2063EE52"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24597382" w14:textId="76F9E8F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početka provedbe:</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16B106F0" w14:textId="0B1AD4E9" w:rsidR="0086194D" w:rsidRPr="0033148D" w:rsidRDefault="005C4DC6"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Svake školske godine</w:t>
            </w:r>
          </w:p>
        </w:tc>
      </w:tr>
      <w:tr w:rsidR="0086194D" w:rsidRPr="0033148D" w14:paraId="13D7B934"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7182B6C0" w14:textId="689B009B"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Datum završetka provedbe:</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3EA9D185" w14:textId="73F64E6C" w:rsidR="0086194D" w:rsidRPr="0033148D" w:rsidRDefault="005C4DC6"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Svake školske godine</w:t>
            </w:r>
            <w:r w:rsidR="0086194D" w:rsidRPr="0033148D">
              <w:rPr>
                <w:rFonts w:ascii="Calibri" w:eastAsia="Times New Roman" w:hAnsi="Calibri" w:cs="Times New Roman"/>
                <w:color w:val="000000"/>
                <w:lang w:eastAsia="hr-HR"/>
              </w:rPr>
              <w:t xml:space="preserve"> </w:t>
            </w:r>
          </w:p>
        </w:tc>
      </w:tr>
      <w:tr w:rsidR="0086194D" w:rsidRPr="0033148D" w14:paraId="20FBF055" w14:textId="77777777" w:rsidTr="004364EA">
        <w:trPr>
          <w:trHeight w:val="300"/>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tcPr>
          <w:p w14:paraId="55E8CA38" w14:textId="7777777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Pokazatelji provedbe:</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tcPr>
          <w:p w14:paraId="5EA2A760" w14:textId="4607929D" w:rsidR="005C4DC6" w:rsidRPr="0033148D" w:rsidRDefault="00E60003"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 xml:space="preserve">Agencija za odgoj i obrazovanje u okviru svojih aktivnosti vezanih uz kontinuirani profesionalni razvoj učitelja, nastavnika, stručnih suradnika i ravnatelja nastavit </w:t>
            </w:r>
            <w:r w:rsidR="005C4DC6" w:rsidRPr="0033148D">
              <w:rPr>
                <w:rFonts w:ascii="Calibri" w:eastAsia="Times New Roman" w:hAnsi="Calibri" w:cs="Times New Roman"/>
                <w:color w:val="000000"/>
                <w:lang w:eastAsia="hr-HR"/>
              </w:rPr>
              <w:t xml:space="preserve">će </w:t>
            </w:r>
            <w:r w:rsidRPr="0033148D">
              <w:rPr>
                <w:rFonts w:ascii="Calibri" w:eastAsia="Times New Roman" w:hAnsi="Calibri" w:cs="Times New Roman"/>
                <w:color w:val="000000"/>
                <w:lang w:eastAsia="hr-HR"/>
              </w:rPr>
              <w:t xml:space="preserve">s aktivnostima na promociji međunarodne inicijative Partnerstvo za otvorenu vlast uključujući i održavanje školskih, županijskih i državnih smotri u okviru projekta Projekt građanin. </w:t>
            </w:r>
          </w:p>
        </w:tc>
      </w:tr>
      <w:tr w:rsidR="0086194D" w:rsidRPr="0033148D" w14:paraId="2DA65693" w14:textId="77777777" w:rsidTr="00347FBF">
        <w:trPr>
          <w:trHeight w:val="718"/>
          <w:jc w:val="center"/>
        </w:trPr>
        <w:tc>
          <w:tcPr>
            <w:tcW w:w="4106" w:type="dxa"/>
            <w:gridSpan w:val="2"/>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7C3FBA47" w14:textId="77777777" w:rsidR="0086194D" w:rsidRPr="0033148D" w:rsidRDefault="0086194D" w:rsidP="0033148D">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 xml:space="preserve">Stupanj provedenosti: </w:t>
            </w:r>
          </w:p>
          <w:p w14:paraId="33DA27FC" w14:textId="77777777" w:rsidR="0086194D" w:rsidRPr="0033148D" w:rsidRDefault="0086194D" w:rsidP="0033148D">
            <w:pPr>
              <w:spacing w:after="0" w:line="240" w:lineRule="auto"/>
              <w:rPr>
                <w:rFonts w:ascii="Calibri" w:eastAsia="Times New Roman" w:hAnsi="Calibri" w:cs="Times New Roman"/>
                <w:bCs/>
                <w:i/>
                <w:color w:val="000000"/>
                <w:lang w:eastAsia="hr-HR"/>
              </w:rPr>
            </w:pPr>
            <w:r w:rsidRPr="0033148D">
              <w:rPr>
                <w:rFonts w:ascii="Calibri" w:eastAsia="Times New Roman" w:hAnsi="Calibri" w:cs="Times New Roman"/>
                <w:bCs/>
                <w:i/>
                <w:color w:val="000000"/>
                <w:lang w:eastAsia="hr-HR"/>
              </w:rPr>
              <w:t>(označite sa x)</w:t>
            </w:r>
          </w:p>
        </w:tc>
        <w:tc>
          <w:tcPr>
            <w:tcW w:w="269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3CC17E"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Provedba nije započela</w:t>
            </w:r>
          </w:p>
        </w:tc>
        <w:tc>
          <w:tcPr>
            <w:tcW w:w="2552" w:type="dxa"/>
            <w:tcBorders>
              <w:top w:val="single" w:sz="4" w:space="0" w:color="auto"/>
              <w:left w:val="nil"/>
              <w:bottom w:val="single" w:sz="4" w:space="0" w:color="auto"/>
              <w:right w:val="single" w:sz="4" w:space="0" w:color="auto"/>
            </w:tcBorders>
            <w:shd w:val="clear" w:color="000000" w:fill="F2F2F2"/>
            <w:vAlign w:val="center"/>
            <w:hideMark/>
          </w:tcPr>
          <w:p w14:paraId="5CD7DB8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manjoj mjeri</w:t>
            </w:r>
          </w:p>
        </w:tc>
        <w:tc>
          <w:tcPr>
            <w:tcW w:w="2693" w:type="dxa"/>
            <w:tcBorders>
              <w:top w:val="single" w:sz="4" w:space="0" w:color="auto"/>
              <w:left w:val="nil"/>
              <w:bottom w:val="single" w:sz="4" w:space="0" w:color="auto"/>
              <w:right w:val="single" w:sz="4" w:space="0" w:color="auto"/>
            </w:tcBorders>
            <w:shd w:val="clear" w:color="000000" w:fill="F2F2F2"/>
            <w:vAlign w:val="center"/>
            <w:hideMark/>
          </w:tcPr>
          <w:p w14:paraId="600DEBA9"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znatnoj mjeri</w:t>
            </w:r>
          </w:p>
        </w:tc>
        <w:tc>
          <w:tcPr>
            <w:tcW w:w="3260" w:type="dxa"/>
            <w:tcBorders>
              <w:top w:val="single" w:sz="4" w:space="0" w:color="auto"/>
              <w:left w:val="nil"/>
              <w:bottom w:val="single" w:sz="4" w:space="0" w:color="auto"/>
              <w:right w:val="single" w:sz="4" w:space="0" w:color="auto"/>
            </w:tcBorders>
            <w:shd w:val="clear" w:color="000000" w:fill="F2F2F2"/>
            <w:vAlign w:val="center"/>
            <w:hideMark/>
          </w:tcPr>
          <w:p w14:paraId="1116AAE2" w14:textId="77777777" w:rsidR="0086194D" w:rsidRPr="0033148D" w:rsidRDefault="0086194D" w:rsidP="0033148D">
            <w:pPr>
              <w:spacing w:after="0" w:line="240" w:lineRule="auto"/>
              <w:jc w:val="center"/>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Provedeno u potpunosti</w:t>
            </w:r>
          </w:p>
        </w:tc>
      </w:tr>
      <w:tr w:rsidR="0086194D" w:rsidRPr="0033148D" w14:paraId="5C1B8EF4" w14:textId="77777777" w:rsidTr="00793541">
        <w:trPr>
          <w:trHeight w:val="642"/>
          <w:jc w:val="center"/>
        </w:trPr>
        <w:tc>
          <w:tcPr>
            <w:tcW w:w="4106" w:type="dxa"/>
            <w:gridSpan w:val="2"/>
            <w:vMerge/>
            <w:tcBorders>
              <w:top w:val="single" w:sz="4" w:space="0" w:color="auto"/>
              <w:left w:val="single" w:sz="4" w:space="0" w:color="auto"/>
              <w:bottom w:val="single" w:sz="4" w:space="0" w:color="000000"/>
              <w:right w:val="single" w:sz="4" w:space="0" w:color="000000"/>
            </w:tcBorders>
            <w:vAlign w:val="center"/>
            <w:hideMark/>
          </w:tcPr>
          <w:p w14:paraId="61542143" w14:textId="77777777" w:rsidR="0086194D" w:rsidRPr="0033148D" w:rsidRDefault="0086194D" w:rsidP="0033148D">
            <w:pPr>
              <w:spacing w:after="0" w:line="240" w:lineRule="auto"/>
              <w:rPr>
                <w:rFonts w:ascii="Calibri" w:eastAsia="Times New Roman" w:hAnsi="Calibri" w:cs="Times New Roman"/>
                <w:b/>
                <w:bCs/>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38CFBB3"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552" w:type="dxa"/>
            <w:tcBorders>
              <w:top w:val="nil"/>
              <w:left w:val="nil"/>
              <w:bottom w:val="single" w:sz="4" w:space="0" w:color="auto"/>
              <w:right w:val="single" w:sz="4" w:space="0" w:color="auto"/>
            </w:tcBorders>
            <w:shd w:val="clear" w:color="auto" w:fill="auto"/>
            <w:noWrap/>
            <w:vAlign w:val="center"/>
            <w:hideMark/>
          </w:tcPr>
          <w:p w14:paraId="02A1059B"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2693" w:type="dxa"/>
            <w:tcBorders>
              <w:top w:val="nil"/>
              <w:left w:val="nil"/>
              <w:bottom w:val="single" w:sz="4" w:space="0" w:color="auto"/>
              <w:right w:val="single" w:sz="4" w:space="0" w:color="auto"/>
            </w:tcBorders>
            <w:shd w:val="clear" w:color="auto" w:fill="auto"/>
            <w:noWrap/>
            <w:vAlign w:val="center"/>
            <w:hideMark/>
          </w:tcPr>
          <w:p w14:paraId="7660BD48"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p>
        </w:tc>
        <w:tc>
          <w:tcPr>
            <w:tcW w:w="3260" w:type="dxa"/>
            <w:tcBorders>
              <w:top w:val="nil"/>
              <w:left w:val="nil"/>
              <w:bottom w:val="single" w:sz="4" w:space="0" w:color="auto"/>
              <w:right w:val="single" w:sz="4" w:space="0" w:color="auto"/>
            </w:tcBorders>
            <w:shd w:val="clear" w:color="auto" w:fill="A8D08D" w:themeFill="accent6" w:themeFillTint="99"/>
            <w:noWrap/>
            <w:vAlign w:val="center"/>
            <w:hideMark/>
          </w:tcPr>
          <w:p w14:paraId="784A7947" w14:textId="77777777" w:rsidR="0086194D" w:rsidRPr="0033148D" w:rsidRDefault="0086194D" w:rsidP="0033148D">
            <w:pPr>
              <w:spacing w:after="0" w:line="240" w:lineRule="auto"/>
              <w:jc w:val="center"/>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x</w:t>
            </w:r>
          </w:p>
        </w:tc>
      </w:tr>
      <w:tr w:rsidR="0086194D" w:rsidRPr="0033148D" w14:paraId="74BFDF4C" w14:textId="77777777" w:rsidTr="00903ACE">
        <w:trPr>
          <w:trHeight w:val="431"/>
          <w:jc w:val="center"/>
        </w:trPr>
        <w:tc>
          <w:tcPr>
            <w:tcW w:w="4106" w:type="dxa"/>
            <w:gridSpan w:val="2"/>
            <w:tcBorders>
              <w:top w:val="single" w:sz="4" w:space="0" w:color="000000"/>
              <w:left w:val="single" w:sz="4" w:space="0" w:color="auto"/>
              <w:bottom w:val="single" w:sz="4" w:space="0" w:color="000000"/>
              <w:right w:val="single" w:sz="4" w:space="0" w:color="000000"/>
            </w:tcBorders>
            <w:shd w:val="clear" w:color="auto" w:fill="F2F2F2" w:themeFill="background1" w:themeFillShade="F2"/>
            <w:vAlign w:val="center"/>
          </w:tcPr>
          <w:p w14:paraId="284811B7" w14:textId="3A35B33B" w:rsidR="0086194D" w:rsidRPr="0033148D" w:rsidRDefault="0086194D"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t>Izmjene aktivnosti:</w:t>
            </w:r>
          </w:p>
        </w:tc>
        <w:tc>
          <w:tcPr>
            <w:tcW w:w="11198" w:type="dxa"/>
            <w:gridSpan w:val="4"/>
            <w:tcBorders>
              <w:top w:val="nil"/>
              <w:left w:val="nil"/>
              <w:bottom w:val="single" w:sz="4" w:space="0" w:color="auto"/>
              <w:right w:val="single" w:sz="4" w:space="0" w:color="auto"/>
            </w:tcBorders>
            <w:shd w:val="clear" w:color="auto" w:fill="auto"/>
            <w:noWrap/>
            <w:vAlign w:val="center"/>
          </w:tcPr>
          <w:p w14:paraId="6FDC629C" w14:textId="0D944F99" w:rsidR="0086194D" w:rsidRPr="0033148D" w:rsidRDefault="003A3AF5" w:rsidP="0033148D">
            <w:pPr>
              <w:spacing w:after="0" w:line="240" w:lineRule="auto"/>
              <w:rPr>
                <w:rFonts w:ascii="Calibri" w:eastAsia="Times New Roman" w:hAnsi="Calibri" w:cs="Times New Roman"/>
                <w:bCs/>
                <w:color w:val="000000"/>
                <w:lang w:eastAsia="hr-HR"/>
              </w:rPr>
            </w:pPr>
            <w:r w:rsidRPr="0033148D">
              <w:rPr>
                <w:rFonts w:ascii="Calibri" w:eastAsia="Times New Roman" w:hAnsi="Calibri" w:cs="Times New Roman"/>
                <w:color w:val="000000"/>
                <w:lang w:eastAsia="hr-HR"/>
              </w:rPr>
              <w:t>Nije bilo izmjena.</w:t>
            </w:r>
          </w:p>
        </w:tc>
      </w:tr>
      <w:tr w:rsidR="0086194D" w:rsidRPr="0033148D" w14:paraId="11222132" w14:textId="77777777" w:rsidTr="00BE54A2">
        <w:trPr>
          <w:trHeight w:val="1132"/>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7FE664B6" w14:textId="17F59166" w:rsidR="0086194D" w:rsidRPr="0033148D" w:rsidRDefault="0086194D" w:rsidP="00903ACE">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b/>
                <w:bCs/>
                <w:color w:val="000000"/>
                <w:lang w:eastAsia="hr-HR"/>
              </w:rPr>
              <w:t>Opis rezultata s pokazateljima provedbe:</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3EABA0" w14:textId="46BC94C9" w:rsidR="00395704" w:rsidRPr="0033148D" w:rsidRDefault="00395704" w:rsidP="00BE54A2">
            <w:pPr>
              <w:pStyle w:val="Default"/>
              <w:spacing w:after="120"/>
              <w:jc w:val="both"/>
              <w:rPr>
                <w:rFonts w:ascii="Calibri" w:eastAsia="Times New Roman" w:hAnsi="Calibri" w:cs="Times New Roman"/>
                <w:sz w:val="22"/>
                <w:szCs w:val="22"/>
                <w:lang w:eastAsia="hr-HR"/>
              </w:rPr>
            </w:pPr>
            <w:r w:rsidRPr="0033148D">
              <w:rPr>
                <w:rFonts w:ascii="Calibri" w:eastAsia="Times New Roman" w:hAnsi="Calibri" w:cs="Times New Roman"/>
                <w:sz w:val="22"/>
                <w:szCs w:val="22"/>
                <w:lang w:eastAsia="hr-HR"/>
              </w:rPr>
              <w:t>Agencija za odgoj i obrazovanje u okviru svojih aktivnosti vezanih uz kontinuirani profesionalni razvoj učitelja, nastavnika, stručnih suradnika i ravnatelja provodila je aktivnosti na promociji međunarodne inicijative Partnerstvo za otvorenu vlast tijekom stručnih usavršavanja te uključujući održavanje školskih, županijskih i državnih smotri u okviru Projekta građanin.</w:t>
            </w:r>
          </w:p>
          <w:p w14:paraId="7E4AC554" w14:textId="77777777" w:rsidR="00395704" w:rsidRPr="0033148D" w:rsidRDefault="00395704" w:rsidP="00BE54A2">
            <w:pPr>
              <w:pStyle w:val="NoSpacing2"/>
              <w:spacing w:after="120"/>
              <w:rPr>
                <w:rFonts w:eastAsia="Times New Roman" w:cs="Times New Roman"/>
                <w:color w:val="000000"/>
                <w:lang w:eastAsia="hr-HR"/>
              </w:rPr>
            </w:pPr>
            <w:r w:rsidRPr="0033148D">
              <w:rPr>
                <w:rFonts w:eastAsia="Times New Roman" w:cs="Times New Roman"/>
                <w:color w:val="000000"/>
                <w:lang w:eastAsia="hr-HR"/>
              </w:rPr>
              <w:t>Tijekom 2022. godine održano je 13 stručnih skupova s ukupno 318 sudionika.</w:t>
            </w:r>
          </w:p>
          <w:p w14:paraId="15812E2A" w14:textId="77777777" w:rsidR="00395704" w:rsidRPr="0033148D" w:rsidRDefault="00395704" w:rsidP="00BE54A2">
            <w:pPr>
              <w:pStyle w:val="NoSpacing2"/>
              <w:spacing w:after="120"/>
              <w:rPr>
                <w:rFonts w:eastAsia="Times New Roman" w:cs="Times New Roman"/>
                <w:color w:val="000000"/>
                <w:lang w:eastAsia="hr-HR"/>
              </w:rPr>
            </w:pPr>
            <w:r w:rsidRPr="0033148D">
              <w:rPr>
                <w:rFonts w:eastAsia="Times New Roman" w:cs="Times New Roman"/>
                <w:color w:val="000000"/>
                <w:lang w:eastAsia="hr-HR"/>
              </w:rPr>
              <w:t xml:space="preserve">Nakon provedenih školskih i županijskih smotri 14. svibnja 2022. u Osnovnoj školi </w:t>
            </w:r>
            <w:proofErr w:type="spellStart"/>
            <w:r w:rsidRPr="0033148D">
              <w:rPr>
                <w:rFonts w:eastAsia="Times New Roman" w:cs="Times New Roman"/>
                <w:color w:val="000000"/>
                <w:lang w:eastAsia="hr-HR"/>
              </w:rPr>
              <w:t>Grigora</w:t>
            </w:r>
            <w:proofErr w:type="spellEnd"/>
            <w:r w:rsidRPr="0033148D">
              <w:rPr>
                <w:rFonts w:eastAsia="Times New Roman" w:cs="Times New Roman"/>
                <w:color w:val="000000"/>
                <w:lang w:eastAsia="hr-HR"/>
              </w:rPr>
              <w:t xml:space="preserve"> Viteza u Zagrebu održana je državna Smotra projekata iz građanskog odgoja i obrazovanja i drugih </w:t>
            </w:r>
            <w:proofErr w:type="spellStart"/>
            <w:r w:rsidRPr="0033148D">
              <w:rPr>
                <w:rFonts w:eastAsia="Times New Roman" w:cs="Times New Roman"/>
                <w:color w:val="000000"/>
                <w:lang w:eastAsia="hr-HR"/>
              </w:rPr>
              <w:t>međupredmetnih</w:t>
            </w:r>
            <w:proofErr w:type="spellEnd"/>
            <w:r w:rsidRPr="0033148D">
              <w:rPr>
                <w:rFonts w:eastAsia="Times New Roman" w:cs="Times New Roman"/>
                <w:color w:val="000000"/>
                <w:lang w:eastAsia="hr-HR"/>
              </w:rPr>
              <w:t xml:space="preserve"> tema – Projekt građanin u školskoj godini 2021/2022. </w:t>
            </w:r>
          </w:p>
          <w:p w14:paraId="17D4C479" w14:textId="77777777" w:rsidR="00395704" w:rsidRPr="0033148D" w:rsidRDefault="00395704" w:rsidP="00BE54A2">
            <w:pPr>
              <w:pStyle w:val="NoSpacing2"/>
              <w:spacing w:after="120"/>
              <w:rPr>
                <w:rFonts w:eastAsia="Times New Roman" w:cs="Times New Roman"/>
                <w:color w:val="000000"/>
                <w:lang w:eastAsia="hr-HR"/>
              </w:rPr>
            </w:pPr>
            <w:r w:rsidRPr="0033148D">
              <w:rPr>
                <w:rFonts w:eastAsia="Times New Roman" w:cs="Times New Roman"/>
                <w:color w:val="000000"/>
                <w:lang w:eastAsia="hr-HR"/>
              </w:rPr>
              <w:t>Na smotri je sudjelovalo ukupno 268 učenika i 67 mentora.</w:t>
            </w:r>
          </w:p>
          <w:p w14:paraId="588206CF" w14:textId="77777777" w:rsidR="00395704" w:rsidRPr="0033148D" w:rsidRDefault="00395704" w:rsidP="00BE54A2">
            <w:pPr>
              <w:pStyle w:val="NoSpacing2"/>
              <w:spacing w:after="120"/>
              <w:rPr>
                <w:rFonts w:eastAsia="Times New Roman" w:cs="Times New Roman"/>
                <w:color w:val="000000"/>
                <w:lang w:eastAsia="hr-HR"/>
              </w:rPr>
            </w:pPr>
            <w:r w:rsidRPr="0033148D">
              <w:rPr>
                <w:rFonts w:eastAsia="Times New Roman" w:cs="Times New Roman"/>
                <w:color w:val="000000"/>
                <w:lang w:eastAsia="hr-HR"/>
              </w:rPr>
              <w:t>Na internetskoj stranici Agencije za odgoj i obrazovanje objavljen je zbornik smotre:</w:t>
            </w:r>
          </w:p>
          <w:p w14:paraId="0F4C1D87" w14:textId="5EC2B7FF" w:rsidR="00395704" w:rsidRPr="00BE54A2" w:rsidRDefault="00BE54A2" w:rsidP="00BE54A2">
            <w:pPr>
              <w:pStyle w:val="NoSpacing2"/>
              <w:spacing w:after="120"/>
              <w:rPr>
                <w:rStyle w:val="Hyperlink"/>
                <w:rFonts w:eastAsia="Times New Roman" w:cs="Times New Roman"/>
                <w:lang w:eastAsia="hr-HR"/>
              </w:rPr>
            </w:pPr>
            <w:r>
              <w:rPr>
                <w:rFonts w:eastAsia="Times New Roman" w:cs="Times New Roman"/>
                <w:color w:val="000000"/>
                <w:lang w:eastAsia="hr-HR"/>
              </w:rPr>
              <w:fldChar w:fldCharType="begin"/>
            </w:r>
            <w:r>
              <w:rPr>
                <w:rFonts w:eastAsia="Times New Roman" w:cs="Times New Roman"/>
                <w:color w:val="000000"/>
                <w:lang w:eastAsia="hr-HR"/>
              </w:rPr>
              <w:instrText xml:space="preserve"> HYPERLINK "https://www.azoo.hr/natjecanja-i-smotre-arhiva/zbornik-smotra-projekata-2022-iz-gradanskog-odgoja-i-obrazovanja/" \t "_blank" </w:instrText>
            </w:r>
            <w:r>
              <w:rPr>
                <w:rFonts w:eastAsia="Times New Roman" w:cs="Times New Roman"/>
                <w:color w:val="000000"/>
                <w:lang w:eastAsia="hr-HR"/>
              </w:rPr>
              <w:fldChar w:fldCharType="separate"/>
            </w:r>
            <w:r w:rsidR="00395704" w:rsidRPr="00BE54A2">
              <w:rPr>
                <w:rStyle w:val="Hyperlink"/>
                <w:rFonts w:eastAsia="Times New Roman" w:cs="Times New Roman"/>
                <w:lang w:eastAsia="hr-HR"/>
              </w:rPr>
              <w:t>https://www.azoo.hr/natjecanja-i-smotre-arhiva/zbornik-smotra-projekata-2022-iz-gradanskog-odgoja-i-obrazovanja/</w:t>
            </w:r>
          </w:p>
          <w:p w14:paraId="76156DDA" w14:textId="646E5485" w:rsidR="00395704" w:rsidRPr="0033148D" w:rsidRDefault="00BE54A2" w:rsidP="00BE54A2">
            <w:pPr>
              <w:pStyle w:val="NoSpacing2"/>
              <w:spacing w:after="120"/>
              <w:jc w:val="both"/>
              <w:rPr>
                <w:rFonts w:eastAsia="Times New Roman" w:cs="Times New Roman"/>
                <w:color w:val="000000"/>
                <w:lang w:eastAsia="hr-HR"/>
              </w:rPr>
            </w:pPr>
            <w:r>
              <w:rPr>
                <w:rFonts w:eastAsia="Times New Roman" w:cs="Times New Roman"/>
                <w:color w:val="000000"/>
                <w:lang w:eastAsia="hr-HR"/>
              </w:rPr>
              <w:fldChar w:fldCharType="end"/>
            </w:r>
            <w:r w:rsidR="00395704" w:rsidRPr="0033148D">
              <w:rPr>
                <w:rFonts w:eastAsia="Times New Roman" w:cs="Times New Roman"/>
                <w:color w:val="000000"/>
                <w:lang w:eastAsia="hr-HR"/>
              </w:rPr>
              <w:t>Tijekom 2023. godine održano je 20 stručnih skupova s ukupno 443 sudionika (jedan državni stručni skup i 19 županijskih stručnih vijeća)</w:t>
            </w:r>
            <w:r w:rsidR="00793541" w:rsidRPr="0033148D">
              <w:rPr>
                <w:rFonts w:eastAsia="Times New Roman" w:cs="Times New Roman"/>
                <w:color w:val="000000"/>
                <w:lang w:eastAsia="hr-HR"/>
              </w:rPr>
              <w:t>.</w:t>
            </w:r>
          </w:p>
          <w:p w14:paraId="2F242BAC" w14:textId="77777777" w:rsidR="00395704" w:rsidRPr="0033148D" w:rsidRDefault="00395704" w:rsidP="00BE54A2">
            <w:pPr>
              <w:pStyle w:val="NoSpacing2"/>
              <w:spacing w:after="120"/>
              <w:rPr>
                <w:rFonts w:eastAsia="Times New Roman" w:cs="Times New Roman"/>
                <w:color w:val="000000"/>
                <w:lang w:eastAsia="hr-HR"/>
              </w:rPr>
            </w:pPr>
            <w:r w:rsidRPr="0033148D">
              <w:rPr>
                <w:rFonts w:eastAsia="Times New Roman" w:cs="Times New Roman"/>
                <w:color w:val="000000"/>
                <w:lang w:eastAsia="hr-HR"/>
              </w:rPr>
              <w:lastRenderedPageBreak/>
              <w:t xml:space="preserve">Nakon provedenih školskih i županijskih smotri 18. svibnja 2023. u Osnovnoj školi </w:t>
            </w:r>
            <w:proofErr w:type="spellStart"/>
            <w:r w:rsidRPr="0033148D">
              <w:rPr>
                <w:rFonts w:eastAsia="Times New Roman" w:cs="Times New Roman"/>
                <w:color w:val="000000"/>
                <w:lang w:eastAsia="hr-HR"/>
              </w:rPr>
              <w:t>Grigora</w:t>
            </w:r>
            <w:proofErr w:type="spellEnd"/>
            <w:r w:rsidRPr="0033148D">
              <w:rPr>
                <w:rFonts w:eastAsia="Times New Roman" w:cs="Times New Roman"/>
                <w:color w:val="000000"/>
                <w:lang w:eastAsia="hr-HR"/>
              </w:rPr>
              <w:t xml:space="preserve"> Viteza u Zagrebu održana je državna Smotra projekata iz građanskog odgoja i obrazovanja i drugih </w:t>
            </w:r>
            <w:proofErr w:type="spellStart"/>
            <w:r w:rsidRPr="0033148D">
              <w:rPr>
                <w:rFonts w:eastAsia="Times New Roman" w:cs="Times New Roman"/>
                <w:color w:val="000000"/>
                <w:lang w:eastAsia="hr-HR"/>
              </w:rPr>
              <w:t>međupredmetnih</w:t>
            </w:r>
            <w:proofErr w:type="spellEnd"/>
            <w:r w:rsidRPr="0033148D">
              <w:rPr>
                <w:rFonts w:eastAsia="Times New Roman" w:cs="Times New Roman"/>
                <w:color w:val="000000"/>
                <w:lang w:eastAsia="hr-HR"/>
              </w:rPr>
              <w:t xml:space="preserve"> tema – Projekt građanin u školskoj godini 2022/2023. </w:t>
            </w:r>
          </w:p>
          <w:p w14:paraId="19AC397B" w14:textId="092E492B" w:rsidR="00395704" w:rsidRPr="0033148D" w:rsidRDefault="00395704" w:rsidP="00BE54A2">
            <w:pPr>
              <w:pStyle w:val="NoSpacing2"/>
              <w:spacing w:after="120"/>
              <w:jc w:val="both"/>
              <w:rPr>
                <w:rFonts w:eastAsia="Times New Roman" w:cs="Times New Roman"/>
                <w:color w:val="000000"/>
                <w:lang w:eastAsia="hr-HR"/>
              </w:rPr>
            </w:pPr>
            <w:r w:rsidRPr="0033148D">
              <w:rPr>
                <w:rFonts w:eastAsia="Times New Roman" w:cs="Times New Roman"/>
                <w:color w:val="000000"/>
                <w:lang w:eastAsia="hr-HR"/>
              </w:rPr>
              <w:t>Na smotri je sudjelovalo ukupno 288 učenika i 72 mentora</w:t>
            </w:r>
            <w:r w:rsidR="00793541" w:rsidRPr="0033148D">
              <w:rPr>
                <w:rFonts w:eastAsia="Times New Roman" w:cs="Times New Roman"/>
                <w:color w:val="000000"/>
                <w:lang w:eastAsia="hr-HR"/>
              </w:rPr>
              <w:t>.</w:t>
            </w:r>
          </w:p>
          <w:p w14:paraId="7F25EEE8" w14:textId="09404794" w:rsidR="00395704" w:rsidRDefault="00395704" w:rsidP="00BE54A2">
            <w:pPr>
              <w:pStyle w:val="NoSpacing2"/>
              <w:spacing w:after="120"/>
              <w:jc w:val="both"/>
              <w:rPr>
                <w:rFonts w:eastAsia="Times New Roman" w:cs="Times New Roman"/>
                <w:color w:val="000000"/>
                <w:lang w:eastAsia="hr-HR"/>
              </w:rPr>
            </w:pPr>
            <w:r w:rsidRPr="0033148D">
              <w:rPr>
                <w:rFonts w:eastAsia="Times New Roman" w:cs="Times New Roman"/>
                <w:color w:val="000000"/>
                <w:lang w:eastAsia="hr-HR"/>
              </w:rPr>
              <w:t>Na internetskoj stranici Agencije za odgoj i obrazovanje objavljen je zbornik smotre:</w:t>
            </w:r>
          </w:p>
          <w:p w14:paraId="44B28EEE" w14:textId="3AF90632" w:rsidR="0086194D" w:rsidRPr="0033148D" w:rsidRDefault="00306FB6" w:rsidP="00BE54A2">
            <w:pPr>
              <w:pStyle w:val="NoSpacing2"/>
              <w:spacing w:after="120"/>
              <w:jc w:val="both"/>
              <w:rPr>
                <w:rFonts w:eastAsia="Times New Roman" w:cs="Times New Roman"/>
                <w:color w:val="000000"/>
                <w:lang w:eastAsia="hr-HR"/>
              </w:rPr>
            </w:pPr>
            <w:hyperlink r:id="rId38" w:history="1">
              <w:r w:rsidR="00BE54A2" w:rsidRPr="00BE54A2">
                <w:rPr>
                  <w:rStyle w:val="Hyperlink"/>
                  <w:rFonts w:eastAsia="Times New Roman" w:cs="Times New Roman"/>
                  <w:lang w:eastAsia="hr-HR"/>
                </w:rPr>
                <w:t>https://www.azoo.hr/natjecanja-i-smotre-arhiva/zbornik-smotra-projekata-2023-iz-gradanskog-odgoja-i-obrazovanja/</w:t>
              </w:r>
            </w:hyperlink>
            <w:hyperlink r:id="rId39" w:history="1"/>
            <w:r w:rsidR="0086194D" w:rsidRPr="0033148D">
              <w:rPr>
                <w:rFonts w:eastAsia="Times New Roman" w:cs="Times New Roman"/>
                <w:color w:val="000000"/>
                <w:lang w:eastAsia="hr-HR"/>
              </w:rPr>
              <w:t>.</w:t>
            </w:r>
          </w:p>
        </w:tc>
      </w:tr>
      <w:tr w:rsidR="0086194D" w:rsidRPr="0033148D" w14:paraId="3754E5AF"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14:paraId="4947B9C2" w14:textId="24BF45DA" w:rsidR="0086194D" w:rsidRPr="0033148D" w:rsidRDefault="0086194D" w:rsidP="00903ACE">
            <w:pPr>
              <w:spacing w:after="0" w:line="240" w:lineRule="auto"/>
              <w:rPr>
                <w:rFonts w:ascii="Calibri" w:eastAsia="Times New Roman" w:hAnsi="Calibri" w:cs="Times New Roman"/>
                <w:b/>
                <w:bCs/>
                <w:color w:val="000000"/>
                <w:lang w:eastAsia="hr-HR"/>
              </w:rPr>
            </w:pPr>
            <w:r w:rsidRPr="0033148D">
              <w:rPr>
                <w:rFonts w:ascii="Calibri" w:eastAsia="Times New Roman" w:hAnsi="Calibri" w:cs="Times New Roman"/>
                <w:b/>
                <w:bCs/>
                <w:color w:val="000000"/>
                <w:lang w:eastAsia="hr-HR"/>
              </w:rPr>
              <w:lastRenderedPageBreak/>
              <w:t>Dodatne informacije:</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FAE2882" w14:textId="77777777" w:rsidR="0086194D" w:rsidRPr="0033148D" w:rsidRDefault="0086194D" w:rsidP="00BE54A2">
            <w:pPr>
              <w:spacing w:after="12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w:t>
            </w:r>
          </w:p>
        </w:tc>
      </w:tr>
      <w:tr w:rsidR="0086194D" w:rsidRPr="0033148D" w14:paraId="33D5DC40" w14:textId="77777777" w:rsidTr="00903ACE">
        <w:trPr>
          <w:trHeight w:val="431"/>
          <w:jc w:val="center"/>
        </w:trPr>
        <w:tc>
          <w:tcPr>
            <w:tcW w:w="4106"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4EFC37F9" w14:textId="5E0F4EE6" w:rsidR="0086194D" w:rsidRPr="0033148D" w:rsidRDefault="0086194D" w:rsidP="00903ACE">
            <w:pPr>
              <w:spacing w:line="240" w:lineRule="auto"/>
              <w:rPr>
                <w:rFonts w:ascii="Calibri" w:eastAsia="Times New Roman" w:hAnsi="Calibri" w:cs="Times New Roman"/>
                <w:color w:val="000000"/>
                <w:lang w:eastAsia="hr-HR"/>
              </w:rPr>
            </w:pPr>
            <w:r w:rsidRPr="0033148D">
              <w:rPr>
                <w:b/>
                <w:bCs/>
                <w:lang w:eastAsia="hr-HR"/>
              </w:rPr>
              <w:t>Sljedeći koraci</w:t>
            </w:r>
            <w:r w:rsidR="00903ACE">
              <w:rPr>
                <w:b/>
                <w:bCs/>
                <w:lang w:eastAsia="hr-HR"/>
              </w:rPr>
              <w:t>:</w:t>
            </w:r>
          </w:p>
        </w:tc>
        <w:tc>
          <w:tcPr>
            <w:tcW w:w="11198"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FC3DA6" w14:textId="058EA2B4" w:rsidR="00395704" w:rsidRPr="0033148D" w:rsidRDefault="00395704" w:rsidP="0033148D">
            <w:pPr>
              <w:spacing w:after="0" w:line="240" w:lineRule="auto"/>
              <w:rPr>
                <w:rFonts w:ascii="Calibri" w:eastAsia="Times New Roman" w:hAnsi="Calibri" w:cs="Times New Roman"/>
                <w:color w:val="000000"/>
                <w:lang w:eastAsia="hr-HR"/>
              </w:rPr>
            </w:pPr>
            <w:r w:rsidRPr="0033148D">
              <w:rPr>
                <w:rFonts w:ascii="Calibri" w:eastAsia="Times New Roman" w:hAnsi="Calibri" w:cs="Times New Roman"/>
                <w:color w:val="000000"/>
                <w:lang w:eastAsia="hr-HR"/>
              </w:rPr>
              <w:t>Agencija za odgoj i obrazovanje nastavit će s redovitim stručnim usavršavanjima odgojno-obrazovnih djelatnika iz područja Građanskog odgoja i obrazovanja i održavanjem školskih, županijskih i državnih smotri u okviru primjene metode Projekt građanin.</w:t>
            </w:r>
          </w:p>
        </w:tc>
      </w:tr>
    </w:tbl>
    <w:p w14:paraId="01C327FD" w14:textId="77777777" w:rsidR="0086194D" w:rsidRPr="0033148D" w:rsidRDefault="0086194D" w:rsidP="0033148D">
      <w:pPr>
        <w:spacing w:line="240" w:lineRule="auto"/>
        <w:jc w:val="center"/>
        <w:rPr>
          <w:b/>
          <w:color w:val="0070C0"/>
        </w:rPr>
      </w:pPr>
    </w:p>
    <w:sectPr w:rsidR="0086194D" w:rsidRPr="0033148D" w:rsidSect="00213B2B">
      <w:type w:val="continuous"/>
      <w:pgSz w:w="16830" w:h="11910" w:orient="landscape"/>
      <w:pgMar w:top="720" w:right="720" w:bottom="720" w:left="72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48781" w14:textId="77777777" w:rsidR="00CE24B7" w:rsidRDefault="00CE24B7" w:rsidP="00BE273F">
      <w:pPr>
        <w:spacing w:after="0" w:line="240" w:lineRule="auto"/>
      </w:pPr>
      <w:r>
        <w:separator/>
      </w:r>
    </w:p>
  </w:endnote>
  <w:endnote w:type="continuationSeparator" w:id="0">
    <w:p w14:paraId="21B88732" w14:textId="77777777" w:rsidR="00CE24B7" w:rsidRDefault="00CE24B7" w:rsidP="00BE2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401112"/>
      <w:docPartObj>
        <w:docPartGallery w:val="Page Numbers (Bottom of Page)"/>
        <w:docPartUnique/>
      </w:docPartObj>
    </w:sdtPr>
    <w:sdtEndPr>
      <w:rPr>
        <w:noProof/>
      </w:rPr>
    </w:sdtEndPr>
    <w:sdtContent>
      <w:p w14:paraId="7C65A78F" w14:textId="15F41F42" w:rsidR="00E67651" w:rsidRDefault="00E67651">
        <w:pPr>
          <w:pStyle w:val="Footer"/>
          <w:jc w:val="right"/>
        </w:pPr>
        <w:r>
          <w:fldChar w:fldCharType="begin"/>
        </w:r>
        <w:r>
          <w:instrText xml:space="preserve"> PAGE   \* MERGEFORMAT </w:instrText>
        </w:r>
        <w:r>
          <w:fldChar w:fldCharType="separate"/>
        </w:r>
        <w:r w:rsidR="00B803FB">
          <w:rPr>
            <w:noProof/>
          </w:rPr>
          <w:t>19</w:t>
        </w:r>
        <w:r>
          <w:rPr>
            <w:noProof/>
          </w:rPr>
          <w:fldChar w:fldCharType="end"/>
        </w:r>
      </w:p>
    </w:sdtContent>
  </w:sdt>
  <w:p w14:paraId="62DA08D1" w14:textId="77777777" w:rsidR="00E67651" w:rsidRDefault="00E6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5300C" w14:textId="77777777" w:rsidR="00CE24B7" w:rsidRDefault="00CE24B7" w:rsidP="00BE273F">
      <w:pPr>
        <w:spacing w:after="0" w:line="240" w:lineRule="auto"/>
      </w:pPr>
      <w:r>
        <w:separator/>
      </w:r>
    </w:p>
  </w:footnote>
  <w:footnote w:type="continuationSeparator" w:id="0">
    <w:p w14:paraId="4C789CA9" w14:textId="77777777" w:rsidR="00CE24B7" w:rsidRDefault="00CE24B7" w:rsidP="00BE2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2769A"/>
    <w:multiLevelType w:val="hybridMultilevel"/>
    <w:tmpl w:val="AB2C5C6E"/>
    <w:lvl w:ilvl="0" w:tplc="894EDC1A">
      <w:start w:val="3"/>
      <w:numFmt w:val="bullet"/>
      <w:lvlText w:val="-"/>
      <w:lvlJc w:val="left"/>
      <w:pPr>
        <w:ind w:left="1776" w:hanging="360"/>
      </w:pPr>
      <w:rPr>
        <w:rFonts w:ascii="Arial" w:eastAsiaTheme="minorHAnsi" w:hAnsi="Arial" w:cs="Aria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273376C"/>
    <w:multiLevelType w:val="hybridMultilevel"/>
    <w:tmpl w:val="E8FA43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B806B2B"/>
    <w:multiLevelType w:val="hybridMultilevel"/>
    <w:tmpl w:val="57DE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42B72"/>
    <w:multiLevelType w:val="hybridMultilevel"/>
    <w:tmpl w:val="F25C6C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B04779"/>
    <w:multiLevelType w:val="hybridMultilevel"/>
    <w:tmpl w:val="4C8C2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5F628BC"/>
    <w:multiLevelType w:val="hybridMultilevel"/>
    <w:tmpl w:val="B950C8E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1744"/>
    <w:multiLevelType w:val="hybridMultilevel"/>
    <w:tmpl w:val="5F68B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D0817"/>
    <w:multiLevelType w:val="hybridMultilevel"/>
    <w:tmpl w:val="2B7EDCAC"/>
    <w:lvl w:ilvl="0" w:tplc="A5705940">
      <w:start w:val="6"/>
      <w:numFmt w:val="bullet"/>
      <w:lvlText w:val="-"/>
      <w:lvlJc w:val="left"/>
      <w:pPr>
        <w:ind w:left="720" w:hanging="360"/>
      </w:pPr>
      <w:rPr>
        <w:rFonts w:ascii="Calibri" w:eastAsia="Times New Roman"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3320E4"/>
    <w:multiLevelType w:val="hybridMultilevel"/>
    <w:tmpl w:val="C86A2AB8"/>
    <w:lvl w:ilvl="0" w:tplc="A5705940">
      <w:start w:val="6"/>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27E36117"/>
    <w:multiLevelType w:val="hybridMultilevel"/>
    <w:tmpl w:val="DEF040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8F23C9"/>
    <w:multiLevelType w:val="hybridMultilevel"/>
    <w:tmpl w:val="271EF3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A617D8E"/>
    <w:multiLevelType w:val="hybridMultilevel"/>
    <w:tmpl w:val="E4C2A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6801A8"/>
    <w:multiLevelType w:val="hybridMultilevel"/>
    <w:tmpl w:val="7844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13391"/>
    <w:multiLevelType w:val="hybridMultilevel"/>
    <w:tmpl w:val="573862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3492085C"/>
    <w:multiLevelType w:val="hybridMultilevel"/>
    <w:tmpl w:val="A03A3E40"/>
    <w:lvl w:ilvl="0" w:tplc="041A000B">
      <w:start w:val="1"/>
      <w:numFmt w:val="bullet"/>
      <w:lvlText w:val=""/>
      <w:lvlJc w:val="left"/>
      <w:pPr>
        <w:ind w:left="360" w:hanging="360"/>
      </w:pPr>
      <w:rPr>
        <w:rFonts w:ascii="Wingdings" w:hAnsi="Wingdings" w:hint="default"/>
      </w:rPr>
    </w:lvl>
    <w:lvl w:ilvl="1" w:tplc="041A0001">
      <w:start w:val="1"/>
      <w:numFmt w:val="bullet"/>
      <w:lvlText w:val=""/>
      <w:lvlJc w:val="left"/>
      <w:pPr>
        <w:ind w:left="720" w:hanging="360"/>
      </w:pPr>
      <w:rPr>
        <w:rFonts w:ascii="Symbol" w:hAnsi="Symbo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358861DB"/>
    <w:multiLevelType w:val="hybridMultilevel"/>
    <w:tmpl w:val="39EA58AC"/>
    <w:lvl w:ilvl="0" w:tplc="041A0001">
      <w:start w:val="1"/>
      <w:numFmt w:val="bullet"/>
      <w:lvlText w:val=""/>
      <w:lvlJc w:val="left"/>
      <w:pPr>
        <w:ind w:left="720" w:hanging="360"/>
      </w:pPr>
      <w:rPr>
        <w:rFonts w:ascii="Symbol" w:hAnsi="Symbol" w:hint="default"/>
      </w:rPr>
    </w:lvl>
    <w:lvl w:ilvl="1" w:tplc="2AECFFDE">
      <w:start w:val="2023"/>
      <w:numFmt w:val="bullet"/>
      <w:lvlText w:val="-"/>
      <w:lvlJc w:val="left"/>
      <w:pPr>
        <w:ind w:left="1440" w:hanging="360"/>
      </w:pPr>
      <w:rPr>
        <w:rFonts w:ascii="Calibri" w:eastAsiaTheme="minorHAnsi" w:hAnsi="Calibri" w:cs="Calibr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8915E48"/>
    <w:multiLevelType w:val="hybridMultilevel"/>
    <w:tmpl w:val="61C66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9C0100"/>
    <w:multiLevelType w:val="multilevel"/>
    <w:tmpl w:val="2A4888A0"/>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8" w15:restartNumberingAfterBreak="0">
    <w:nsid w:val="398C642A"/>
    <w:multiLevelType w:val="hybridMultilevel"/>
    <w:tmpl w:val="BD9479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B2D66F7"/>
    <w:multiLevelType w:val="hybridMultilevel"/>
    <w:tmpl w:val="56849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763DB"/>
    <w:multiLevelType w:val="hybridMultilevel"/>
    <w:tmpl w:val="313A0C2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3EC4137E"/>
    <w:multiLevelType w:val="hybridMultilevel"/>
    <w:tmpl w:val="FF7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D43A4"/>
    <w:multiLevelType w:val="hybridMultilevel"/>
    <w:tmpl w:val="4C8C16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F931A34"/>
    <w:multiLevelType w:val="hybridMultilevel"/>
    <w:tmpl w:val="05F866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42922"/>
    <w:multiLevelType w:val="hybridMultilevel"/>
    <w:tmpl w:val="2DF69D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C4F260B"/>
    <w:multiLevelType w:val="hybridMultilevel"/>
    <w:tmpl w:val="6958C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35DE1"/>
    <w:multiLevelType w:val="hybridMultilevel"/>
    <w:tmpl w:val="8730C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606D06"/>
    <w:multiLevelType w:val="hybridMultilevel"/>
    <w:tmpl w:val="8612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3E0F1D"/>
    <w:multiLevelType w:val="hybridMultilevel"/>
    <w:tmpl w:val="FD7E8DB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8AF7639"/>
    <w:multiLevelType w:val="hybridMultilevel"/>
    <w:tmpl w:val="86FC0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A31147"/>
    <w:multiLevelType w:val="hybridMultilevel"/>
    <w:tmpl w:val="F222998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5B0B0499"/>
    <w:multiLevelType w:val="hybridMultilevel"/>
    <w:tmpl w:val="A47C9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AA4C0D"/>
    <w:multiLevelType w:val="hybridMultilevel"/>
    <w:tmpl w:val="1B9EBBD0"/>
    <w:lvl w:ilvl="0" w:tplc="FAA6539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D5830D0"/>
    <w:multiLevelType w:val="hybridMultilevel"/>
    <w:tmpl w:val="D368DC9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6A1D09"/>
    <w:multiLevelType w:val="hybridMultilevel"/>
    <w:tmpl w:val="2A94F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455EA"/>
    <w:multiLevelType w:val="hybridMultilevel"/>
    <w:tmpl w:val="78D2915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6" w15:restartNumberingAfterBreak="0">
    <w:nsid w:val="64752A42"/>
    <w:multiLevelType w:val="hybridMultilevel"/>
    <w:tmpl w:val="D66C69F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7" w15:restartNumberingAfterBreak="0">
    <w:nsid w:val="6B986315"/>
    <w:multiLevelType w:val="hybridMultilevel"/>
    <w:tmpl w:val="EC0C4702"/>
    <w:lvl w:ilvl="0" w:tplc="915E3E1C">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8" w15:restartNumberingAfterBreak="0">
    <w:nsid w:val="6FDE6B33"/>
    <w:multiLevelType w:val="hybridMultilevel"/>
    <w:tmpl w:val="A2FE9570"/>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70BA7198"/>
    <w:multiLevelType w:val="hybridMultilevel"/>
    <w:tmpl w:val="53FC460C"/>
    <w:lvl w:ilvl="0" w:tplc="894EDC1A">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11803BC"/>
    <w:multiLevelType w:val="hybridMultilevel"/>
    <w:tmpl w:val="C7CC8FE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15:restartNumberingAfterBreak="0">
    <w:nsid w:val="768632FA"/>
    <w:multiLevelType w:val="hybridMultilevel"/>
    <w:tmpl w:val="AF7A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9B3818"/>
    <w:multiLevelType w:val="hybridMultilevel"/>
    <w:tmpl w:val="6C98A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007002"/>
    <w:multiLevelType w:val="hybridMultilevel"/>
    <w:tmpl w:val="E0F4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B06BC4"/>
    <w:multiLevelType w:val="hybridMultilevel"/>
    <w:tmpl w:val="07DA820A"/>
    <w:lvl w:ilvl="0" w:tplc="A570594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72539"/>
    <w:multiLevelType w:val="hybridMultilevel"/>
    <w:tmpl w:val="8D300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FE3E38"/>
    <w:multiLevelType w:val="hybridMultilevel"/>
    <w:tmpl w:val="588C8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7EB94071"/>
    <w:multiLevelType w:val="hybridMultilevel"/>
    <w:tmpl w:val="80ACDF68"/>
    <w:lvl w:ilvl="0" w:tplc="894EDC1A">
      <w:start w:val="3"/>
      <w:numFmt w:val="bullet"/>
      <w:lvlText w:val="-"/>
      <w:lvlJc w:val="left"/>
      <w:pPr>
        <w:ind w:left="1068" w:hanging="360"/>
      </w:pPr>
      <w:rPr>
        <w:rFonts w:ascii="Arial" w:eastAsiaTheme="minorHAns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abstractNumId w:val="24"/>
  </w:num>
  <w:num w:numId="2">
    <w:abstractNumId w:val="8"/>
  </w:num>
  <w:num w:numId="3">
    <w:abstractNumId w:val="9"/>
  </w:num>
  <w:num w:numId="4">
    <w:abstractNumId w:val="15"/>
  </w:num>
  <w:num w:numId="5">
    <w:abstractNumId w:val="14"/>
  </w:num>
  <w:num w:numId="6">
    <w:abstractNumId w:val="37"/>
  </w:num>
  <w:num w:numId="7">
    <w:abstractNumId w:val="30"/>
  </w:num>
  <w:num w:numId="8">
    <w:abstractNumId w:val="28"/>
  </w:num>
  <w:num w:numId="9">
    <w:abstractNumId w:val="38"/>
  </w:num>
  <w:num w:numId="10">
    <w:abstractNumId w:val="17"/>
  </w:num>
  <w:num w:numId="11">
    <w:abstractNumId w:val="18"/>
  </w:num>
  <w:num w:numId="12">
    <w:abstractNumId w:val="1"/>
  </w:num>
  <w:num w:numId="13">
    <w:abstractNumId w:val="40"/>
  </w:num>
  <w:num w:numId="14">
    <w:abstractNumId w:val="10"/>
  </w:num>
  <w:num w:numId="15">
    <w:abstractNumId w:val="44"/>
  </w:num>
  <w:num w:numId="16">
    <w:abstractNumId w:val="32"/>
  </w:num>
  <w:num w:numId="17">
    <w:abstractNumId w:val="47"/>
  </w:num>
  <w:num w:numId="18">
    <w:abstractNumId w:val="0"/>
  </w:num>
  <w:num w:numId="19">
    <w:abstractNumId w:val="39"/>
  </w:num>
  <w:num w:numId="20">
    <w:abstractNumId w:val="12"/>
  </w:num>
  <w:num w:numId="21">
    <w:abstractNumId w:val="27"/>
  </w:num>
  <w:num w:numId="22">
    <w:abstractNumId w:val="7"/>
  </w:num>
  <w:num w:numId="23">
    <w:abstractNumId w:val="23"/>
  </w:num>
  <w:num w:numId="24">
    <w:abstractNumId w:val="26"/>
  </w:num>
  <w:num w:numId="25">
    <w:abstractNumId w:val="11"/>
  </w:num>
  <w:num w:numId="26">
    <w:abstractNumId w:val="41"/>
  </w:num>
  <w:num w:numId="27">
    <w:abstractNumId w:val="21"/>
  </w:num>
  <w:num w:numId="28">
    <w:abstractNumId w:val="42"/>
  </w:num>
  <w:num w:numId="29">
    <w:abstractNumId w:val="2"/>
  </w:num>
  <w:num w:numId="30">
    <w:abstractNumId w:val="45"/>
  </w:num>
  <w:num w:numId="31">
    <w:abstractNumId w:val="29"/>
  </w:num>
  <w:num w:numId="32">
    <w:abstractNumId w:val="33"/>
  </w:num>
  <w:num w:numId="33">
    <w:abstractNumId w:val="34"/>
  </w:num>
  <w:num w:numId="34">
    <w:abstractNumId w:val="6"/>
  </w:num>
  <w:num w:numId="35">
    <w:abstractNumId w:val="19"/>
  </w:num>
  <w:num w:numId="36">
    <w:abstractNumId w:val="16"/>
  </w:num>
  <w:num w:numId="37">
    <w:abstractNumId w:val="43"/>
  </w:num>
  <w:num w:numId="38">
    <w:abstractNumId w:val="5"/>
  </w:num>
  <w:num w:numId="39">
    <w:abstractNumId w:val="35"/>
  </w:num>
  <w:num w:numId="40">
    <w:abstractNumId w:val="22"/>
  </w:num>
  <w:num w:numId="41">
    <w:abstractNumId w:val="36"/>
  </w:num>
  <w:num w:numId="42">
    <w:abstractNumId w:val="4"/>
  </w:num>
  <w:num w:numId="43">
    <w:abstractNumId w:val="20"/>
  </w:num>
  <w:num w:numId="44">
    <w:abstractNumId w:val="46"/>
  </w:num>
  <w:num w:numId="45">
    <w:abstractNumId w:val="3"/>
  </w:num>
  <w:num w:numId="46">
    <w:abstractNumId w:val="13"/>
  </w:num>
  <w:num w:numId="47">
    <w:abstractNumId w:val="25"/>
  </w:num>
  <w:num w:numId="48">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99"/>
    <w:rsid w:val="00000089"/>
    <w:rsid w:val="00000258"/>
    <w:rsid w:val="00001124"/>
    <w:rsid w:val="0000560C"/>
    <w:rsid w:val="000105FA"/>
    <w:rsid w:val="00010B7C"/>
    <w:rsid w:val="000119DE"/>
    <w:rsid w:val="000139E5"/>
    <w:rsid w:val="00015A7D"/>
    <w:rsid w:val="000176FB"/>
    <w:rsid w:val="00020FB7"/>
    <w:rsid w:val="00027735"/>
    <w:rsid w:val="00027C47"/>
    <w:rsid w:val="0003770C"/>
    <w:rsid w:val="000445EB"/>
    <w:rsid w:val="00055BCF"/>
    <w:rsid w:val="00060EA1"/>
    <w:rsid w:val="000621EA"/>
    <w:rsid w:val="000646F8"/>
    <w:rsid w:val="0006586D"/>
    <w:rsid w:val="00072257"/>
    <w:rsid w:val="00074A50"/>
    <w:rsid w:val="000755C6"/>
    <w:rsid w:val="000813A7"/>
    <w:rsid w:val="000823F3"/>
    <w:rsid w:val="000853FC"/>
    <w:rsid w:val="0009085B"/>
    <w:rsid w:val="00094E55"/>
    <w:rsid w:val="00095C25"/>
    <w:rsid w:val="000961CE"/>
    <w:rsid w:val="00097279"/>
    <w:rsid w:val="000A087B"/>
    <w:rsid w:val="000A1C35"/>
    <w:rsid w:val="000A5E26"/>
    <w:rsid w:val="000A7E80"/>
    <w:rsid w:val="000B0BBA"/>
    <w:rsid w:val="000B30E9"/>
    <w:rsid w:val="000B4AE8"/>
    <w:rsid w:val="000B62B9"/>
    <w:rsid w:val="000B6985"/>
    <w:rsid w:val="000C1E91"/>
    <w:rsid w:val="000C1F0D"/>
    <w:rsid w:val="000C4800"/>
    <w:rsid w:val="000C6476"/>
    <w:rsid w:val="000C7F18"/>
    <w:rsid w:val="000D3227"/>
    <w:rsid w:val="000D4364"/>
    <w:rsid w:val="000D6A40"/>
    <w:rsid w:val="000E38BD"/>
    <w:rsid w:val="000E3EAD"/>
    <w:rsid w:val="000E6FF5"/>
    <w:rsid w:val="000F1523"/>
    <w:rsid w:val="000F1EE8"/>
    <w:rsid w:val="000F2FC1"/>
    <w:rsid w:val="000F3EE3"/>
    <w:rsid w:val="000F42ED"/>
    <w:rsid w:val="000F441D"/>
    <w:rsid w:val="000F6D0F"/>
    <w:rsid w:val="00101EED"/>
    <w:rsid w:val="00102E02"/>
    <w:rsid w:val="00103B59"/>
    <w:rsid w:val="0010571D"/>
    <w:rsid w:val="00107B7C"/>
    <w:rsid w:val="00122006"/>
    <w:rsid w:val="0012358D"/>
    <w:rsid w:val="001340F3"/>
    <w:rsid w:val="00135CE9"/>
    <w:rsid w:val="00136191"/>
    <w:rsid w:val="001373D5"/>
    <w:rsid w:val="00152A6C"/>
    <w:rsid w:val="00153157"/>
    <w:rsid w:val="00154147"/>
    <w:rsid w:val="0015568D"/>
    <w:rsid w:val="00156A18"/>
    <w:rsid w:val="00157DB8"/>
    <w:rsid w:val="00160ECF"/>
    <w:rsid w:val="00163E83"/>
    <w:rsid w:val="00170039"/>
    <w:rsid w:val="001755DF"/>
    <w:rsid w:val="001808C8"/>
    <w:rsid w:val="00184743"/>
    <w:rsid w:val="0018572A"/>
    <w:rsid w:val="001A2BFC"/>
    <w:rsid w:val="001A343B"/>
    <w:rsid w:val="001A5899"/>
    <w:rsid w:val="001A6110"/>
    <w:rsid w:val="001A78EF"/>
    <w:rsid w:val="001B696E"/>
    <w:rsid w:val="001B6D03"/>
    <w:rsid w:val="001C1A3A"/>
    <w:rsid w:val="001C3F98"/>
    <w:rsid w:val="001C4176"/>
    <w:rsid w:val="001D4971"/>
    <w:rsid w:val="001D67BB"/>
    <w:rsid w:val="001D78EB"/>
    <w:rsid w:val="001E257F"/>
    <w:rsid w:val="001E2846"/>
    <w:rsid w:val="001E2F93"/>
    <w:rsid w:val="001E4A40"/>
    <w:rsid w:val="001F23BD"/>
    <w:rsid w:val="001F24E1"/>
    <w:rsid w:val="001F32D5"/>
    <w:rsid w:val="001F4C5B"/>
    <w:rsid w:val="001F7C5E"/>
    <w:rsid w:val="00200384"/>
    <w:rsid w:val="00206542"/>
    <w:rsid w:val="002101B3"/>
    <w:rsid w:val="00212CEB"/>
    <w:rsid w:val="00213B2B"/>
    <w:rsid w:val="00213EAF"/>
    <w:rsid w:val="00213FA6"/>
    <w:rsid w:val="002144B3"/>
    <w:rsid w:val="002219EC"/>
    <w:rsid w:val="002256D3"/>
    <w:rsid w:val="00227892"/>
    <w:rsid w:val="002320DF"/>
    <w:rsid w:val="002539BA"/>
    <w:rsid w:val="00254BAF"/>
    <w:rsid w:val="0026218B"/>
    <w:rsid w:val="0026531F"/>
    <w:rsid w:val="002659E8"/>
    <w:rsid w:val="00265C09"/>
    <w:rsid w:val="00266241"/>
    <w:rsid w:val="00267611"/>
    <w:rsid w:val="00271374"/>
    <w:rsid w:val="002757B8"/>
    <w:rsid w:val="0027611F"/>
    <w:rsid w:val="00277F0F"/>
    <w:rsid w:val="0028329A"/>
    <w:rsid w:val="0029358D"/>
    <w:rsid w:val="0029760D"/>
    <w:rsid w:val="00297D63"/>
    <w:rsid w:val="002A2FB4"/>
    <w:rsid w:val="002B18D9"/>
    <w:rsid w:val="002B2B10"/>
    <w:rsid w:val="002B4C3A"/>
    <w:rsid w:val="002B690C"/>
    <w:rsid w:val="002C10BC"/>
    <w:rsid w:val="002C13F7"/>
    <w:rsid w:val="002C46D9"/>
    <w:rsid w:val="002C6847"/>
    <w:rsid w:val="002C789E"/>
    <w:rsid w:val="002C79DF"/>
    <w:rsid w:val="002D5C49"/>
    <w:rsid w:val="002D76E6"/>
    <w:rsid w:val="002E41C2"/>
    <w:rsid w:val="002E597E"/>
    <w:rsid w:val="002E7B0C"/>
    <w:rsid w:val="002F1052"/>
    <w:rsid w:val="002F18C1"/>
    <w:rsid w:val="002F4C3F"/>
    <w:rsid w:val="002F5140"/>
    <w:rsid w:val="002F6E91"/>
    <w:rsid w:val="003008FE"/>
    <w:rsid w:val="00303299"/>
    <w:rsid w:val="003034FE"/>
    <w:rsid w:val="00306FB6"/>
    <w:rsid w:val="003070CC"/>
    <w:rsid w:val="00307900"/>
    <w:rsid w:val="003115A1"/>
    <w:rsid w:val="003134BC"/>
    <w:rsid w:val="00313CF3"/>
    <w:rsid w:val="00315D07"/>
    <w:rsid w:val="00317937"/>
    <w:rsid w:val="0032165B"/>
    <w:rsid w:val="00330B70"/>
    <w:rsid w:val="0033148D"/>
    <w:rsid w:val="00333F40"/>
    <w:rsid w:val="00336C3D"/>
    <w:rsid w:val="00342746"/>
    <w:rsid w:val="00345503"/>
    <w:rsid w:val="00347661"/>
    <w:rsid w:val="00347FBF"/>
    <w:rsid w:val="0035213B"/>
    <w:rsid w:val="00352A62"/>
    <w:rsid w:val="00352AE4"/>
    <w:rsid w:val="00355055"/>
    <w:rsid w:val="00362416"/>
    <w:rsid w:val="00362D93"/>
    <w:rsid w:val="00362DB7"/>
    <w:rsid w:val="003630D9"/>
    <w:rsid w:val="00363556"/>
    <w:rsid w:val="00367583"/>
    <w:rsid w:val="00374330"/>
    <w:rsid w:val="003803F4"/>
    <w:rsid w:val="00386141"/>
    <w:rsid w:val="00392A6F"/>
    <w:rsid w:val="00394550"/>
    <w:rsid w:val="00394691"/>
    <w:rsid w:val="00395704"/>
    <w:rsid w:val="00397C89"/>
    <w:rsid w:val="003A3AF5"/>
    <w:rsid w:val="003A4B84"/>
    <w:rsid w:val="003A56F5"/>
    <w:rsid w:val="003A7560"/>
    <w:rsid w:val="003B3229"/>
    <w:rsid w:val="003B3C80"/>
    <w:rsid w:val="003B6415"/>
    <w:rsid w:val="003C0AFF"/>
    <w:rsid w:val="003C188D"/>
    <w:rsid w:val="003C1AC6"/>
    <w:rsid w:val="003C5FC3"/>
    <w:rsid w:val="003D5951"/>
    <w:rsid w:val="003E1160"/>
    <w:rsid w:val="003E36ED"/>
    <w:rsid w:val="003E39D3"/>
    <w:rsid w:val="003E5A69"/>
    <w:rsid w:val="003F0C7E"/>
    <w:rsid w:val="003F4E9B"/>
    <w:rsid w:val="00410296"/>
    <w:rsid w:val="00411ABD"/>
    <w:rsid w:val="00412D4C"/>
    <w:rsid w:val="004238EF"/>
    <w:rsid w:val="00423DBD"/>
    <w:rsid w:val="00424F98"/>
    <w:rsid w:val="00427D2B"/>
    <w:rsid w:val="004300B5"/>
    <w:rsid w:val="00430D88"/>
    <w:rsid w:val="00435D02"/>
    <w:rsid w:val="0043627B"/>
    <w:rsid w:val="004364EA"/>
    <w:rsid w:val="0044559D"/>
    <w:rsid w:val="004457F4"/>
    <w:rsid w:val="004509D3"/>
    <w:rsid w:val="0045187A"/>
    <w:rsid w:val="004542D1"/>
    <w:rsid w:val="00455798"/>
    <w:rsid w:val="00457788"/>
    <w:rsid w:val="004603F3"/>
    <w:rsid w:val="0046133B"/>
    <w:rsid w:val="004616A6"/>
    <w:rsid w:val="00462325"/>
    <w:rsid w:val="00466662"/>
    <w:rsid w:val="00466A2C"/>
    <w:rsid w:val="00467502"/>
    <w:rsid w:val="00467C73"/>
    <w:rsid w:val="00470B9C"/>
    <w:rsid w:val="004769F4"/>
    <w:rsid w:val="004838CD"/>
    <w:rsid w:val="00486E73"/>
    <w:rsid w:val="0049125E"/>
    <w:rsid w:val="004953DC"/>
    <w:rsid w:val="00495880"/>
    <w:rsid w:val="004962FD"/>
    <w:rsid w:val="004978A8"/>
    <w:rsid w:val="004A2B5C"/>
    <w:rsid w:val="004A36D4"/>
    <w:rsid w:val="004A4443"/>
    <w:rsid w:val="004B2ACE"/>
    <w:rsid w:val="004B7C5E"/>
    <w:rsid w:val="004C01F2"/>
    <w:rsid w:val="004C73DF"/>
    <w:rsid w:val="004C78FC"/>
    <w:rsid w:val="004D0A2E"/>
    <w:rsid w:val="004D15CC"/>
    <w:rsid w:val="004D273F"/>
    <w:rsid w:val="004D29B6"/>
    <w:rsid w:val="004D55F7"/>
    <w:rsid w:val="004D6805"/>
    <w:rsid w:val="004D7CAE"/>
    <w:rsid w:val="004D7FCF"/>
    <w:rsid w:val="004E12A1"/>
    <w:rsid w:val="004E224E"/>
    <w:rsid w:val="004E2604"/>
    <w:rsid w:val="004E4F95"/>
    <w:rsid w:val="004E6073"/>
    <w:rsid w:val="004E7347"/>
    <w:rsid w:val="004E7E89"/>
    <w:rsid w:val="004F1C20"/>
    <w:rsid w:val="004F4382"/>
    <w:rsid w:val="004F6D8E"/>
    <w:rsid w:val="005024EF"/>
    <w:rsid w:val="00504E62"/>
    <w:rsid w:val="00505F0F"/>
    <w:rsid w:val="0050751A"/>
    <w:rsid w:val="005103FC"/>
    <w:rsid w:val="00511947"/>
    <w:rsid w:val="00512F88"/>
    <w:rsid w:val="00520072"/>
    <w:rsid w:val="00523318"/>
    <w:rsid w:val="0053298A"/>
    <w:rsid w:val="00533C38"/>
    <w:rsid w:val="00533EB5"/>
    <w:rsid w:val="00534A06"/>
    <w:rsid w:val="005354A2"/>
    <w:rsid w:val="00537EE6"/>
    <w:rsid w:val="00541718"/>
    <w:rsid w:val="005434ED"/>
    <w:rsid w:val="0054521A"/>
    <w:rsid w:val="00545F24"/>
    <w:rsid w:val="00552227"/>
    <w:rsid w:val="00557A56"/>
    <w:rsid w:val="00560B60"/>
    <w:rsid w:val="0056156C"/>
    <w:rsid w:val="00562D43"/>
    <w:rsid w:val="005675D6"/>
    <w:rsid w:val="00570552"/>
    <w:rsid w:val="005803B6"/>
    <w:rsid w:val="0058431C"/>
    <w:rsid w:val="00585EB6"/>
    <w:rsid w:val="00590668"/>
    <w:rsid w:val="00594326"/>
    <w:rsid w:val="00594C2F"/>
    <w:rsid w:val="005979EC"/>
    <w:rsid w:val="005A559A"/>
    <w:rsid w:val="005A68EF"/>
    <w:rsid w:val="005B02F8"/>
    <w:rsid w:val="005B4844"/>
    <w:rsid w:val="005B5757"/>
    <w:rsid w:val="005B6A4B"/>
    <w:rsid w:val="005B7739"/>
    <w:rsid w:val="005C3C64"/>
    <w:rsid w:val="005C4DC6"/>
    <w:rsid w:val="005C7E70"/>
    <w:rsid w:val="005D00A5"/>
    <w:rsid w:val="005D6701"/>
    <w:rsid w:val="005E4C4A"/>
    <w:rsid w:val="005F3A62"/>
    <w:rsid w:val="005F406F"/>
    <w:rsid w:val="005F64BA"/>
    <w:rsid w:val="005F65E3"/>
    <w:rsid w:val="00601D21"/>
    <w:rsid w:val="0060410D"/>
    <w:rsid w:val="00607602"/>
    <w:rsid w:val="00612500"/>
    <w:rsid w:val="00612DAA"/>
    <w:rsid w:val="006130CC"/>
    <w:rsid w:val="00615FC4"/>
    <w:rsid w:val="006227E2"/>
    <w:rsid w:val="00622A43"/>
    <w:rsid w:val="00622D12"/>
    <w:rsid w:val="00626593"/>
    <w:rsid w:val="00633D91"/>
    <w:rsid w:val="00635CF7"/>
    <w:rsid w:val="00635D20"/>
    <w:rsid w:val="00637EB0"/>
    <w:rsid w:val="0064321B"/>
    <w:rsid w:val="006449E4"/>
    <w:rsid w:val="00644ABC"/>
    <w:rsid w:val="00645522"/>
    <w:rsid w:val="00646997"/>
    <w:rsid w:val="006514F7"/>
    <w:rsid w:val="00656E82"/>
    <w:rsid w:val="00662306"/>
    <w:rsid w:val="0066420F"/>
    <w:rsid w:val="00664421"/>
    <w:rsid w:val="00665DE5"/>
    <w:rsid w:val="00675F49"/>
    <w:rsid w:val="006771C3"/>
    <w:rsid w:val="00680306"/>
    <w:rsid w:val="006821D6"/>
    <w:rsid w:val="0068283D"/>
    <w:rsid w:val="00684B45"/>
    <w:rsid w:val="00685690"/>
    <w:rsid w:val="00686022"/>
    <w:rsid w:val="0068650D"/>
    <w:rsid w:val="006869E7"/>
    <w:rsid w:val="0069136C"/>
    <w:rsid w:val="0069683D"/>
    <w:rsid w:val="006A08C2"/>
    <w:rsid w:val="006A0A57"/>
    <w:rsid w:val="006A184D"/>
    <w:rsid w:val="006A7E39"/>
    <w:rsid w:val="006B27CD"/>
    <w:rsid w:val="006C101C"/>
    <w:rsid w:val="006C4252"/>
    <w:rsid w:val="006C432F"/>
    <w:rsid w:val="006C6DF8"/>
    <w:rsid w:val="006C7562"/>
    <w:rsid w:val="006C7695"/>
    <w:rsid w:val="006D24B4"/>
    <w:rsid w:val="006D31C7"/>
    <w:rsid w:val="006D7375"/>
    <w:rsid w:val="006D7FF9"/>
    <w:rsid w:val="006E4F2C"/>
    <w:rsid w:val="006E69A8"/>
    <w:rsid w:val="006E73E7"/>
    <w:rsid w:val="006F0D4A"/>
    <w:rsid w:val="006F118D"/>
    <w:rsid w:val="006F1681"/>
    <w:rsid w:val="006F211E"/>
    <w:rsid w:val="006F578D"/>
    <w:rsid w:val="00703620"/>
    <w:rsid w:val="00703B18"/>
    <w:rsid w:val="0070571B"/>
    <w:rsid w:val="00706B7B"/>
    <w:rsid w:val="00710CC2"/>
    <w:rsid w:val="00710CD2"/>
    <w:rsid w:val="00716EFE"/>
    <w:rsid w:val="007179DF"/>
    <w:rsid w:val="00726F78"/>
    <w:rsid w:val="007368DB"/>
    <w:rsid w:val="00736FC0"/>
    <w:rsid w:val="00742FA3"/>
    <w:rsid w:val="0074309E"/>
    <w:rsid w:val="00750B0C"/>
    <w:rsid w:val="00761293"/>
    <w:rsid w:val="00761E6D"/>
    <w:rsid w:val="00765BFE"/>
    <w:rsid w:val="007663B6"/>
    <w:rsid w:val="00770682"/>
    <w:rsid w:val="0077598C"/>
    <w:rsid w:val="007832CB"/>
    <w:rsid w:val="00783D01"/>
    <w:rsid w:val="007849DC"/>
    <w:rsid w:val="00791BED"/>
    <w:rsid w:val="00793541"/>
    <w:rsid w:val="00795796"/>
    <w:rsid w:val="007A144C"/>
    <w:rsid w:val="007A1D88"/>
    <w:rsid w:val="007A25E6"/>
    <w:rsid w:val="007A4029"/>
    <w:rsid w:val="007A56A9"/>
    <w:rsid w:val="007B2859"/>
    <w:rsid w:val="007B29CD"/>
    <w:rsid w:val="007B60AF"/>
    <w:rsid w:val="007B713E"/>
    <w:rsid w:val="007C0382"/>
    <w:rsid w:val="007C0706"/>
    <w:rsid w:val="007C7B84"/>
    <w:rsid w:val="007D0017"/>
    <w:rsid w:val="007D0F66"/>
    <w:rsid w:val="007D104F"/>
    <w:rsid w:val="007D2E96"/>
    <w:rsid w:val="007D610F"/>
    <w:rsid w:val="007D735C"/>
    <w:rsid w:val="007E0519"/>
    <w:rsid w:val="007E36EB"/>
    <w:rsid w:val="007F378A"/>
    <w:rsid w:val="00802EE2"/>
    <w:rsid w:val="008050D7"/>
    <w:rsid w:val="00806127"/>
    <w:rsid w:val="00807F38"/>
    <w:rsid w:val="00813CC9"/>
    <w:rsid w:val="008172C2"/>
    <w:rsid w:val="00822CFF"/>
    <w:rsid w:val="00824F64"/>
    <w:rsid w:val="0083271E"/>
    <w:rsid w:val="00833918"/>
    <w:rsid w:val="00833FB9"/>
    <w:rsid w:val="008348B5"/>
    <w:rsid w:val="0084000C"/>
    <w:rsid w:val="0084262E"/>
    <w:rsid w:val="008430B3"/>
    <w:rsid w:val="008461D3"/>
    <w:rsid w:val="00851C76"/>
    <w:rsid w:val="008566F3"/>
    <w:rsid w:val="0086194D"/>
    <w:rsid w:val="008663F2"/>
    <w:rsid w:val="00867879"/>
    <w:rsid w:val="008731B6"/>
    <w:rsid w:val="00873ABA"/>
    <w:rsid w:val="00874507"/>
    <w:rsid w:val="0087657E"/>
    <w:rsid w:val="00876EFC"/>
    <w:rsid w:val="0087736E"/>
    <w:rsid w:val="00880D3A"/>
    <w:rsid w:val="00881B55"/>
    <w:rsid w:val="0088378E"/>
    <w:rsid w:val="008842AB"/>
    <w:rsid w:val="00885D51"/>
    <w:rsid w:val="008925A4"/>
    <w:rsid w:val="00894134"/>
    <w:rsid w:val="008946FA"/>
    <w:rsid w:val="00896991"/>
    <w:rsid w:val="00897884"/>
    <w:rsid w:val="00897A90"/>
    <w:rsid w:val="00897E5E"/>
    <w:rsid w:val="008A0A3F"/>
    <w:rsid w:val="008A0F83"/>
    <w:rsid w:val="008A263A"/>
    <w:rsid w:val="008A5EE2"/>
    <w:rsid w:val="008A6E07"/>
    <w:rsid w:val="008B180C"/>
    <w:rsid w:val="008B2E13"/>
    <w:rsid w:val="008B3779"/>
    <w:rsid w:val="008C0204"/>
    <w:rsid w:val="008C0FED"/>
    <w:rsid w:val="008C493B"/>
    <w:rsid w:val="008C63FE"/>
    <w:rsid w:val="008D3F26"/>
    <w:rsid w:val="008E7C8E"/>
    <w:rsid w:val="008F1C49"/>
    <w:rsid w:val="00900059"/>
    <w:rsid w:val="009030D6"/>
    <w:rsid w:val="00903ACE"/>
    <w:rsid w:val="00905AC4"/>
    <w:rsid w:val="009062C7"/>
    <w:rsid w:val="009101CE"/>
    <w:rsid w:val="0091029F"/>
    <w:rsid w:val="00911B2C"/>
    <w:rsid w:val="0091246B"/>
    <w:rsid w:val="00913D98"/>
    <w:rsid w:val="00921260"/>
    <w:rsid w:val="00922A6D"/>
    <w:rsid w:val="00925018"/>
    <w:rsid w:val="00926D8D"/>
    <w:rsid w:val="0093612B"/>
    <w:rsid w:val="00941090"/>
    <w:rsid w:val="009445B8"/>
    <w:rsid w:val="009460DA"/>
    <w:rsid w:val="009544B4"/>
    <w:rsid w:val="009600AE"/>
    <w:rsid w:val="00960414"/>
    <w:rsid w:val="00963C36"/>
    <w:rsid w:val="00963E96"/>
    <w:rsid w:val="009640F4"/>
    <w:rsid w:val="00964DEB"/>
    <w:rsid w:val="00967DA8"/>
    <w:rsid w:val="0097411B"/>
    <w:rsid w:val="00974131"/>
    <w:rsid w:val="0098008B"/>
    <w:rsid w:val="00980FAA"/>
    <w:rsid w:val="00983439"/>
    <w:rsid w:val="00984114"/>
    <w:rsid w:val="009842A5"/>
    <w:rsid w:val="00984733"/>
    <w:rsid w:val="0098793C"/>
    <w:rsid w:val="009908E5"/>
    <w:rsid w:val="009947F3"/>
    <w:rsid w:val="00996326"/>
    <w:rsid w:val="009A1CA5"/>
    <w:rsid w:val="009A2A34"/>
    <w:rsid w:val="009A2F10"/>
    <w:rsid w:val="009A4F78"/>
    <w:rsid w:val="009A5340"/>
    <w:rsid w:val="009B620A"/>
    <w:rsid w:val="009B74CB"/>
    <w:rsid w:val="009C1BA0"/>
    <w:rsid w:val="009C1DD2"/>
    <w:rsid w:val="009C2738"/>
    <w:rsid w:val="009C28B2"/>
    <w:rsid w:val="009C51DC"/>
    <w:rsid w:val="009D4DD1"/>
    <w:rsid w:val="009D7B93"/>
    <w:rsid w:val="009E1518"/>
    <w:rsid w:val="009E304E"/>
    <w:rsid w:val="009E4E5E"/>
    <w:rsid w:val="009E60B8"/>
    <w:rsid w:val="009E757D"/>
    <w:rsid w:val="009E76BE"/>
    <w:rsid w:val="009F33C1"/>
    <w:rsid w:val="009F6C57"/>
    <w:rsid w:val="00A00C8A"/>
    <w:rsid w:val="00A159F4"/>
    <w:rsid w:val="00A201A7"/>
    <w:rsid w:val="00A20739"/>
    <w:rsid w:val="00A21547"/>
    <w:rsid w:val="00A240CA"/>
    <w:rsid w:val="00A24212"/>
    <w:rsid w:val="00A2565B"/>
    <w:rsid w:val="00A25780"/>
    <w:rsid w:val="00A3363C"/>
    <w:rsid w:val="00A34657"/>
    <w:rsid w:val="00A34BC7"/>
    <w:rsid w:val="00A35FD2"/>
    <w:rsid w:val="00A36246"/>
    <w:rsid w:val="00A42299"/>
    <w:rsid w:val="00A579AC"/>
    <w:rsid w:val="00A57E14"/>
    <w:rsid w:val="00A62C3C"/>
    <w:rsid w:val="00A62F99"/>
    <w:rsid w:val="00A6419A"/>
    <w:rsid w:val="00A644CC"/>
    <w:rsid w:val="00A666FC"/>
    <w:rsid w:val="00A74A49"/>
    <w:rsid w:val="00A77BC7"/>
    <w:rsid w:val="00A82707"/>
    <w:rsid w:val="00A8728B"/>
    <w:rsid w:val="00A900EB"/>
    <w:rsid w:val="00A905BD"/>
    <w:rsid w:val="00A91449"/>
    <w:rsid w:val="00A92C03"/>
    <w:rsid w:val="00A94D9E"/>
    <w:rsid w:val="00A956B6"/>
    <w:rsid w:val="00A95878"/>
    <w:rsid w:val="00A96427"/>
    <w:rsid w:val="00AA486A"/>
    <w:rsid w:val="00AA7417"/>
    <w:rsid w:val="00AB073C"/>
    <w:rsid w:val="00AB15A0"/>
    <w:rsid w:val="00AB42A4"/>
    <w:rsid w:val="00AB6A5A"/>
    <w:rsid w:val="00AC215A"/>
    <w:rsid w:val="00AC2759"/>
    <w:rsid w:val="00AC4501"/>
    <w:rsid w:val="00AD6BA8"/>
    <w:rsid w:val="00AE28E4"/>
    <w:rsid w:val="00AE2E7D"/>
    <w:rsid w:val="00AE598A"/>
    <w:rsid w:val="00AF0EB0"/>
    <w:rsid w:val="00AF2673"/>
    <w:rsid w:val="00AF51CB"/>
    <w:rsid w:val="00B00574"/>
    <w:rsid w:val="00B05566"/>
    <w:rsid w:val="00B06593"/>
    <w:rsid w:val="00B06EE7"/>
    <w:rsid w:val="00B100E5"/>
    <w:rsid w:val="00B25FE7"/>
    <w:rsid w:val="00B27493"/>
    <w:rsid w:val="00B32C7B"/>
    <w:rsid w:val="00B43F5D"/>
    <w:rsid w:val="00B51DC7"/>
    <w:rsid w:val="00B55694"/>
    <w:rsid w:val="00B5637C"/>
    <w:rsid w:val="00B57539"/>
    <w:rsid w:val="00B6073A"/>
    <w:rsid w:val="00B6113A"/>
    <w:rsid w:val="00B633A5"/>
    <w:rsid w:val="00B65893"/>
    <w:rsid w:val="00B65BAE"/>
    <w:rsid w:val="00B737CF"/>
    <w:rsid w:val="00B76D2D"/>
    <w:rsid w:val="00B80037"/>
    <w:rsid w:val="00B803FB"/>
    <w:rsid w:val="00B80FA3"/>
    <w:rsid w:val="00B83329"/>
    <w:rsid w:val="00B907CD"/>
    <w:rsid w:val="00B934BC"/>
    <w:rsid w:val="00B967BF"/>
    <w:rsid w:val="00B96925"/>
    <w:rsid w:val="00BA2219"/>
    <w:rsid w:val="00BA2911"/>
    <w:rsid w:val="00BA343A"/>
    <w:rsid w:val="00BA5ED5"/>
    <w:rsid w:val="00BA7667"/>
    <w:rsid w:val="00BB5921"/>
    <w:rsid w:val="00BB5C53"/>
    <w:rsid w:val="00BB6F05"/>
    <w:rsid w:val="00BB70DB"/>
    <w:rsid w:val="00BD38FD"/>
    <w:rsid w:val="00BD6B5C"/>
    <w:rsid w:val="00BE273F"/>
    <w:rsid w:val="00BE2CFA"/>
    <w:rsid w:val="00BE54A2"/>
    <w:rsid w:val="00BF083E"/>
    <w:rsid w:val="00BF7581"/>
    <w:rsid w:val="00BF7F97"/>
    <w:rsid w:val="00C00F48"/>
    <w:rsid w:val="00C00F58"/>
    <w:rsid w:val="00C2203A"/>
    <w:rsid w:val="00C23792"/>
    <w:rsid w:val="00C26794"/>
    <w:rsid w:val="00C300FF"/>
    <w:rsid w:val="00C313C1"/>
    <w:rsid w:val="00C3170F"/>
    <w:rsid w:val="00C31B20"/>
    <w:rsid w:val="00C3788A"/>
    <w:rsid w:val="00C4067B"/>
    <w:rsid w:val="00C40E24"/>
    <w:rsid w:val="00C40ECB"/>
    <w:rsid w:val="00C446C9"/>
    <w:rsid w:val="00C52CCB"/>
    <w:rsid w:val="00C543F8"/>
    <w:rsid w:val="00C54408"/>
    <w:rsid w:val="00C553BC"/>
    <w:rsid w:val="00C57044"/>
    <w:rsid w:val="00C57195"/>
    <w:rsid w:val="00C615B2"/>
    <w:rsid w:val="00C619B9"/>
    <w:rsid w:val="00C64CB4"/>
    <w:rsid w:val="00C77205"/>
    <w:rsid w:val="00C81A03"/>
    <w:rsid w:val="00C830CB"/>
    <w:rsid w:val="00C9037C"/>
    <w:rsid w:val="00C92320"/>
    <w:rsid w:val="00C93EFC"/>
    <w:rsid w:val="00C946EF"/>
    <w:rsid w:val="00C971A7"/>
    <w:rsid w:val="00CA773F"/>
    <w:rsid w:val="00CB04BD"/>
    <w:rsid w:val="00CB7851"/>
    <w:rsid w:val="00CC05DA"/>
    <w:rsid w:val="00CC1BD9"/>
    <w:rsid w:val="00CC38DC"/>
    <w:rsid w:val="00CD2B16"/>
    <w:rsid w:val="00CD5FCB"/>
    <w:rsid w:val="00CD62F4"/>
    <w:rsid w:val="00CD6F99"/>
    <w:rsid w:val="00CE1443"/>
    <w:rsid w:val="00CE24B7"/>
    <w:rsid w:val="00CF065C"/>
    <w:rsid w:val="00CF4257"/>
    <w:rsid w:val="00CF55F6"/>
    <w:rsid w:val="00D05543"/>
    <w:rsid w:val="00D06060"/>
    <w:rsid w:val="00D12D69"/>
    <w:rsid w:val="00D1514F"/>
    <w:rsid w:val="00D27439"/>
    <w:rsid w:val="00D2761D"/>
    <w:rsid w:val="00D34038"/>
    <w:rsid w:val="00D36592"/>
    <w:rsid w:val="00D41D5B"/>
    <w:rsid w:val="00D424BA"/>
    <w:rsid w:val="00D437CF"/>
    <w:rsid w:val="00D44D01"/>
    <w:rsid w:val="00D46F5C"/>
    <w:rsid w:val="00D50897"/>
    <w:rsid w:val="00D53634"/>
    <w:rsid w:val="00D553ED"/>
    <w:rsid w:val="00D56C3D"/>
    <w:rsid w:val="00D57E14"/>
    <w:rsid w:val="00D630DB"/>
    <w:rsid w:val="00D63208"/>
    <w:rsid w:val="00D639B1"/>
    <w:rsid w:val="00D65FD9"/>
    <w:rsid w:val="00D70549"/>
    <w:rsid w:val="00D81319"/>
    <w:rsid w:val="00D813D4"/>
    <w:rsid w:val="00D82D88"/>
    <w:rsid w:val="00D87564"/>
    <w:rsid w:val="00D97EDA"/>
    <w:rsid w:val="00D97F32"/>
    <w:rsid w:val="00DA243D"/>
    <w:rsid w:val="00DA3388"/>
    <w:rsid w:val="00DA3918"/>
    <w:rsid w:val="00DA712E"/>
    <w:rsid w:val="00DB6547"/>
    <w:rsid w:val="00DC18C2"/>
    <w:rsid w:val="00DC440F"/>
    <w:rsid w:val="00DC4B5C"/>
    <w:rsid w:val="00DD03E9"/>
    <w:rsid w:val="00DD2658"/>
    <w:rsid w:val="00DD64A8"/>
    <w:rsid w:val="00DD6835"/>
    <w:rsid w:val="00DD6B96"/>
    <w:rsid w:val="00DE0F51"/>
    <w:rsid w:val="00DE45C1"/>
    <w:rsid w:val="00DF1EE5"/>
    <w:rsid w:val="00DF2C05"/>
    <w:rsid w:val="00DF3E9C"/>
    <w:rsid w:val="00DF5B9D"/>
    <w:rsid w:val="00E046DE"/>
    <w:rsid w:val="00E05DC1"/>
    <w:rsid w:val="00E076A9"/>
    <w:rsid w:val="00E16A8B"/>
    <w:rsid w:val="00E22E75"/>
    <w:rsid w:val="00E24BC9"/>
    <w:rsid w:val="00E26DCA"/>
    <w:rsid w:val="00E31357"/>
    <w:rsid w:val="00E32049"/>
    <w:rsid w:val="00E344FC"/>
    <w:rsid w:val="00E3495D"/>
    <w:rsid w:val="00E35370"/>
    <w:rsid w:val="00E4110A"/>
    <w:rsid w:val="00E41D13"/>
    <w:rsid w:val="00E43A3E"/>
    <w:rsid w:val="00E45286"/>
    <w:rsid w:val="00E46EBE"/>
    <w:rsid w:val="00E53A92"/>
    <w:rsid w:val="00E540F3"/>
    <w:rsid w:val="00E54D18"/>
    <w:rsid w:val="00E60003"/>
    <w:rsid w:val="00E60FCA"/>
    <w:rsid w:val="00E67651"/>
    <w:rsid w:val="00E7040B"/>
    <w:rsid w:val="00E750FD"/>
    <w:rsid w:val="00E75113"/>
    <w:rsid w:val="00E767E8"/>
    <w:rsid w:val="00E823F3"/>
    <w:rsid w:val="00E82532"/>
    <w:rsid w:val="00E9052A"/>
    <w:rsid w:val="00E915CD"/>
    <w:rsid w:val="00E93F35"/>
    <w:rsid w:val="00E94579"/>
    <w:rsid w:val="00E9690C"/>
    <w:rsid w:val="00EA1C38"/>
    <w:rsid w:val="00EA3546"/>
    <w:rsid w:val="00EA434F"/>
    <w:rsid w:val="00EA5F82"/>
    <w:rsid w:val="00EA7BBD"/>
    <w:rsid w:val="00EB1790"/>
    <w:rsid w:val="00EB44F2"/>
    <w:rsid w:val="00EC39ED"/>
    <w:rsid w:val="00EC459D"/>
    <w:rsid w:val="00EC5B93"/>
    <w:rsid w:val="00EC5FF7"/>
    <w:rsid w:val="00ED3A66"/>
    <w:rsid w:val="00ED3E64"/>
    <w:rsid w:val="00ED7531"/>
    <w:rsid w:val="00EE269E"/>
    <w:rsid w:val="00EE4C9C"/>
    <w:rsid w:val="00EE4FE6"/>
    <w:rsid w:val="00EE7C08"/>
    <w:rsid w:val="00EF198C"/>
    <w:rsid w:val="00EF2572"/>
    <w:rsid w:val="00EF5EBA"/>
    <w:rsid w:val="00EF7016"/>
    <w:rsid w:val="00EF7759"/>
    <w:rsid w:val="00F00049"/>
    <w:rsid w:val="00F03C57"/>
    <w:rsid w:val="00F06CEF"/>
    <w:rsid w:val="00F075A1"/>
    <w:rsid w:val="00F12609"/>
    <w:rsid w:val="00F15879"/>
    <w:rsid w:val="00F22C56"/>
    <w:rsid w:val="00F257A0"/>
    <w:rsid w:val="00F270A1"/>
    <w:rsid w:val="00F2762C"/>
    <w:rsid w:val="00F33BBE"/>
    <w:rsid w:val="00F33D87"/>
    <w:rsid w:val="00F355E7"/>
    <w:rsid w:val="00F373A6"/>
    <w:rsid w:val="00F40221"/>
    <w:rsid w:val="00F51021"/>
    <w:rsid w:val="00F51987"/>
    <w:rsid w:val="00F53656"/>
    <w:rsid w:val="00F6046E"/>
    <w:rsid w:val="00F66E74"/>
    <w:rsid w:val="00F73EE7"/>
    <w:rsid w:val="00F75269"/>
    <w:rsid w:val="00F75962"/>
    <w:rsid w:val="00F81EA8"/>
    <w:rsid w:val="00F82952"/>
    <w:rsid w:val="00F83480"/>
    <w:rsid w:val="00F91A41"/>
    <w:rsid w:val="00F925F4"/>
    <w:rsid w:val="00F929E6"/>
    <w:rsid w:val="00FA0AC0"/>
    <w:rsid w:val="00FA108A"/>
    <w:rsid w:val="00FA4C8E"/>
    <w:rsid w:val="00FA6547"/>
    <w:rsid w:val="00FB10EF"/>
    <w:rsid w:val="00FC1AD4"/>
    <w:rsid w:val="00FC3F66"/>
    <w:rsid w:val="00FC4238"/>
    <w:rsid w:val="00FC5177"/>
    <w:rsid w:val="00FC7475"/>
    <w:rsid w:val="00FD1185"/>
    <w:rsid w:val="00FD18AC"/>
    <w:rsid w:val="00FD2BE6"/>
    <w:rsid w:val="00FD777F"/>
    <w:rsid w:val="00FE2B64"/>
    <w:rsid w:val="00FE6906"/>
    <w:rsid w:val="00FE796D"/>
    <w:rsid w:val="00FF09F9"/>
    <w:rsid w:val="00FF61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36724C"/>
  <w15:chartTrackingRefBased/>
  <w15:docId w15:val="{2B6B83DA-08BC-4EDD-9368-C6514C5B3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8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313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97E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313C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257"/>
    <w:pPr>
      <w:ind w:left="720"/>
      <w:contextualSpacing/>
    </w:pPr>
  </w:style>
  <w:style w:type="character" w:styleId="Hyperlink">
    <w:name w:val="Hyperlink"/>
    <w:basedOn w:val="DefaultParagraphFont"/>
    <w:uiPriority w:val="99"/>
    <w:unhideWhenUsed/>
    <w:rsid w:val="00103B59"/>
    <w:rPr>
      <w:color w:val="0563C1" w:themeColor="hyperlink"/>
      <w:u w:val="single"/>
    </w:rPr>
  </w:style>
  <w:style w:type="paragraph" w:styleId="NoSpacing">
    <w:name w:val="No Spacing"/>
    <w:link w:val="NoSpacingChar"/>
    <w:uiPriority w:val="1"/>
    <w:qFormat/>
    <w:rsid w:val="007B2859"/>
    <w:pPr>
      <w:spacing w:after="0" w:line="240" w:lineRule="auto"/>
    </w:pPr>
  </w:style>
  <w:style w:type="character" w:customStyle="1" w:styleId="NoSpacingChar">
    <w:name w:val="No Spacing Char"/>
    <w:link w:val="NoSpacing"/>
    <w:uiPriority w:val="1"/>
    <w:locked/>
    <w:rsid w:val="007B2859"/>
  </w:style>
  <w:style w:type="paragraph" w:styleId="NormalWeb">
    <w:name w:val="Normal (Web)"/>
    <w:basedOn w:val="Normal"/>
    <w:uiPriority w:val="99"/>
    <w:unhideWhenUsed/>
    <w:rsid w:val="007B285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Spacing2">
    <w:name w:val="No Spacing2"/>
    <w:basedOn w:val="Normal"/>
    <w:qFormat/>
    <w:rsid w:val="007B2859"/>
    <w:pPr>
      <w:spacing w:after="0" w:line="240" w:lineRule="auto"/>
    </w:pPr>
    <w:rPr>
      <w:rFonts w:ascii="Calibri" w:hAnsi="Calibri" w:cs="Calibri"/>
    </w:rPr>
  </w:style>
  <w:style w:type="paragraph" w:styleId="BodyText">
    <w:name w:val="Body Text"/>
    <w:basedOn w:val="Normal"/>
    <w:link w:val="BodyTextChar"/>
    <w:uiPriority w:val="1"/>
    <w:qFormat/>
    <w:rsid w:val="00BE273F"/>
    <w:pPr>
      <w:widowControl w:val="0"/>
      <w:autoSpaceDE w:val="0"/>
      <w:autoSpaceDN w:val="0"/>
      <w:spacing w:after="0" w:line="240" w:lineRule="auto"/>
    </w:pPr>
    <w:rPr>
      <w:rFonts w:ascii="Arial" w:eastAsia="Arial" w:hAnsi="Arial" w:cs="Arial"/>
      <w:sz w:val="28"/>
      <w:szCs w:val="28"/>
    </w:rPr>
  </w:style>
  <w:style w:type="character" w:customStyle="1" w:styleId="BodyTextChar">
    <w:name w:val="Body Text Char"/>
    <w:basedOn w:val="DefaultParagraphFont"/>
    <w:link w:val="BodyText"/>
    <w:uiPriority w:val="1"/>
    <w:rsid w:val="00BE273F"/>
    <w:rPr>
      <w:rFonts w:ascii="Arial" w:eastAsia="Arial" w:hAnsi="Arial" w:cs="Arial"/>
      <w:sz w:val="28"/>
      <w:szCs w:val="28"/>
    </w:rPr>
  </w:style>
  <w:style w:type="paragraph" w:customStyle="1" w:styleId="TableParagraph">
    <w:name w:val="Table Paragraph"/>
    <w:basedOn w:val="Normal"/>
    <w:uiPriority w:val="1"/>
    <w:qFormat/>
    <w:rsid w:val="00BE273F"/>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BE2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73F"/>
  </w:style>
  <w:style w:type="paragraph" w:styleId="Footer">
    <w:name w:val="footer"/>
    <w:basedOn w:val="Normal"/>
    <w:link w:val="FooterChar"/>
    <w:uiPriority w:val="99"/>
    <w:unhideWhenUsed/>
    <w:rsid w:val="00BE2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73F"/>
  </w:style>
  <w:style w:type="paragraph" w:styleId="CommentText">
    <w:name w:val="annotation text"/>
    <w:basedOn w:val="Normal"/>
    <w:link w:val="CommentTextChar"/>
    <w:uiPriority w:val="99"/>
    <w:unhideWhenUsed/>
    <w:rsid w:val="00BE2CFA"/>
    <w:pPr>
      <w:spacing w:line="240" w:lineRule="auto"/>
    </w:pPr>
    <w:rPr>
      <w:sz w:val="20"/>
      <w:szCs w:val="20"/>
    </w:rPr>
  </w:style>
  <w:style w:type="character" w:customStyle="1" w:styleId="CommentTextChar">
    <w:name w:val="Comment Text Char"/>
    <w:basedOn w:val="DefaultParagraphFont"/>
    <w:link w:val="CommentText"/>
    <w:uiPriority w:val="99"/>
    <w:rsid w:val="00BE2CFA"/>
    <w:rPr>
      <w:sz w:val="20"/>
      <w:szCs w:val="20"/>
    </w:rPr>
  </w:style>
  <w:style w:type="character" w:styleId="CommentReference">
    <w:name w:val="annotation reference"/>
    <w:basedOn w:val="DefaultParagraphFont"/>
    <w:uiPriority w:val="99"/>
    <w:semiHidden/>
    <w:unhideWhenUsed/>
    <w:rsid w:val="00645522"/>
    <w:rPr>
      <w:sz w:val="16"/>
      <w:szCs w:val="16"/>
    </w:rPr>
  </w:style>
  <w:style w:type="paragraph" w:styleId="CommentSubject">
    <w:name w:val="annotation subject"/>
    <w:basedOn w:val="CommentText"/>
    <w:next w:val="CommentText"/>
    <w:link w:val="CommentSubjectChar"/>
    <w:uiPriority w:val="99"/>
    <w:semiHidden/>
    <w:unhideWhenUsed/>
    <w:rsid w:val="00645522"/>
    <w:rPr>
      <w:b/>
      <w:bCs/>
    </w:rPr>
  </w:style>
  <w:style w:type="character" w:customStyle="1" w:styleId="CommentSubjectChar">
    <w:name w:val="Comment Subject Char"/>
    <w:basedOn w:val="CommentTextChar"/>
    <w:link w:val="CommentSubject"/>
    <w:uiPriority w:val="99"/>
    <w:semiHidden/>
    <w:rsid w:val="00645522"/>
    <w:rPr>
      <w:b/>
      <w:bCs/>
      <w:sz w:val="20"/>
      <w:szCs w:val="20"/>
    </w:rPr>
  </w:style>
  <w:style w:type="paragraph" w:styleId="BalloonText">
    <w:name w:val="Balloon Text"/>
    <w:basedOn w:val="Normal"/>
    <w:link w:val="BalloonTextChar"/>
    <w:uiPriority w:val="99"/>
    <w:semiHidden/>
    <w:unhideWhenUsed/>
    <w:rsid w:val="006455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22"/>
    <w:rPr>
      <w:rFonts w:ascii="Segoe UI" w:hAnsi="Segoe UI" w:cs="Segoe UI"/>
      <w:sz w:val="18"/>
      <w:szCs w:val="18"/>
    </w:rPr>
  </w:style>
  <w:style w:type="character" w:customStyle="1" w:styleId="hps">
    <w:name w:val="hps"/>
    <w:uiPriority w:val="99"/>
    <w:rsid w:val="004A36D4"/>
  </w:style>
  <w:style w:type="table" w:styleId="TableGrid">
    <w:name w:val="Table Grid"/>
    <w:basedOn w:val="TableNormal"/>
    <w:uiPriority w:val="39"/>
    <w:rsid w:val="00037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D7F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FCF"/>
    <w:rPr>
      <w:sz w:val="20"/>
      <w:szCs w:val="20"/>
    </w:rPr>
  </w:style>
  <w:style w:type="character" w:styleId="FootnoteReference">
    <w:name w:val="footnote reference"/>
    <w:basedOn w:val="DefaultParagraphFont"/>
    <w:uiPriority w:val="99"/>
    <w:semiHidden/>
    <w:unhideWhenUsed/>
    <w:rsid w:val="004D7FCF"/>
    <w:rPr>
      <w:vertAlign w:val="superscript"/>
    </w:rPr>
  </w:style>
  <w:style w:type="character" w:styleId="FollowedHyperlink">
    <w:name w:val="FollowedHyperlink"/>
    <w:basedOn w:val="DefaultParagraphFont"/>
    <w:uiPriority w:val="99"/>
    <w:semiHidden/>
    <w:unhideWhenUsed/>
    <w:rsid w:val="00486E73"/>
    <w:rPr>
      <w:color w:val="954F72" w:themeColor="followedHyperlink"/>
      <w:u w:val="single"/>
    </w:rPr>
  </w:style>
  <w:style w:type="character" w:customStyle="1" w:styleId="Heading3Char">
    <w:name w:val="Heading 3 Char"/>
    <w:basedOn w:val="DefaultParagraphFont"/>
    <w:link w:val="Heading3"/>
    <w:uiPriority w:val="9"/>
    <w:rsid w:val="00897E5E"/>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D78EB"/>
    <w:rPr>
      <w:rFonts w:asciiTheme="majorHAnsi" w:eastAsiaTheme="majorEastAsia" w:hAnsiTheme="majorHAnsi" w:cstheme="majorBidi"/>
      <w:color w:val="2E74B5" w:themeColor="accent1" w:themeShade="BF"/>
      <w:sz w:val="32"/>
      <w:szCs w:val="32"/>
    </w:rPr>
  </w:style>
  <w:style w:type="paragraph" w:customStyle="1" w:styleId="Default">
    <w:name w:val="Default"/>
    <w:rsid w:val="00EB1790"/>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B2ACE"/>
    <w:pPr>
      <w:spacing w:after="0" w:line="240" w:lineRule="auto"/>
    </w:pPr>
  </w:style>
  <w:style w:type="character" w:styleId="Strong">
    <w:name w:val="Strong"/>
    <w:basedOn w:val="DefaultParagraphFont"/>
    <w:uiPriority w:val="22"/>
    <w:qFormat/>
    <w:rsid w:val="00E344FC"/>
    <w:rPr>
      <w:b/>
      <w:bCs/>
    </w:rPr>
  </w:style>
  <w:style w:type="character" w:customStyle="1" w:styleId="Heading2Char">
    <w:name w:val="Heading 2 Char"/>
    <w:basedOn w:val="DefaultParagraphFont"/>
    <w:link w:val="Heading2"/>
    <w:uiPriority w:val="9"/>
    <w:rsid w:val="00C313C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313C1"/>
    <w:rPr>
      <w:rFonts w:asciiTheme="majorHAnsi" w:eastAsiaTheme="majorEastAsia" w:hAnsiTheme="majorHAnsi" w:cstheme="majorBidi"/>
      <w:i/>
      <w:iCs/>
      <w:color w:val="2E74B5" w:themeColor="accent1" w:themeShade="BF"/>
    </w:rPr>
  </w:style>
  <w:style w:type="paragraph" w:styleId="TOCHeading">
    <w:name w:val="TOC Heading"/>
    <w:basedOn w:val="Heading1"/>
    <w:next w:val="Normal"/>
    <w:uiPriority w:val="39"/>
    <w:unhideWhenUsed/>
    <w:qFormat/>
    <w:rsid w:val="00C313C1"/>
    <w:pPr>
      <w:outlineLvl w:val="9"/>
    </w:pPr>
    <w:rPr>
      <w:lang w:val="en-US"/>
    </w:rPr>
  </w:style>
  <w:style w:type="paragraph" w:styleId="TOC1">
    <w:name w:val="toc 1"/>
    <w:basedOn w:val="Normal"/>
    <w:next w:val="Normal"/>
    <w:autoRedefine/>
    <w:uiPriority w:val="39"/>
    <w:unhideWhenUsed/>
    <w:rsid w:val="00C313C1"/>
    <w:pPr>
      <w:tabs>
        <w:tab w:val="right" w:leader="dot" w:pos="15380"/>
      </w:tabs>
      <w:spacing w:after="100"/>
    </w:pPr>
    <w:rPr>
      <w:b/>
    </w:rPr>
  </w:style>
  <w:style w:type="paragraph" w:styleId="TOC2">
    <w:name w:val="toc 2"/>
    <w:basedOn w:val="Normal"/>
    <w:next w:val="Normal"/>
    <w:autoRedefine/>
    <w:uiPriority w:val="39"/>
    <w:unhideWhenUsed/>
    <w:rsid w:val="00C313C1"/>
    <w:pPr>
      <w:spacing w:after="100"/>
      <w:ind w:left="220"/>
    </w:pPr>
  </w:style>
  <w:style w:type="paragraph" w:styleId="TOC3">
    <w:name w:val="toc 3"/>
    <w:basedOn w:val="Normal"/>
    <w:next w:val="Normal"/>
    <w:autoRedefine/>
    <w:uiPriority w:val="39"/>
    <w:unhideWhenUsed/>
    <w:rsid w:val="00C313C1"/>
    <w:pPr>
      <w:spacing w:after="100"/>
      <w:ind w:left="440"/>
    </w:pPr>
  </w:style>
  <w:style w:type="paragraph" w:styleId="TOC4">
    <w:name w:val="toc 4"/>
    <w:basedOn w:val="Normal"/>
    <w:next w:val="Normal"/>
    <w:autoRedefine/>
    <w:uiPriority w:val="39"/>
    <w:unhideWhenUsed/>
    <w:rsid w:val="00C313C1"/>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6206">
      <w:bodyDiv w:val="1"/>
      <w:marLeft w:val="0"/>
      <w:marRight w:val="0"/>
      <w:marTop w:val="0"/>
      <w:marBottom w:val="0"/>
      <w:divBdr>
        <w:top w:val="none" w:sz="0" w:space="0" w:color="auto"/>
        <w:left w:val="none" w:sz="0" w:space="0" w:color="auto"/>
        <w:bottom w:val="none" w:sz="0" w:space="0" w:color="auto"/>
        <w:right w:val="none" w:sz="0" w:space="0" w:color="auto"/>
      </w:divBdr>
    </w:div>
    <w:div w:id="194389010">
      <w:bodyDiv w:val="1"/>
      <w:marLeft w:val="0"/>
      <w:marRight w:val="0"/>
      <w:marTop w:val="0"/>
      <w:marBottom w:val="0"/>
      <w:divBdr>
        <w:top w:val="none" w:sz="0" w:space="0" w:color="auto"/>
        <w:left w:val="none" w:sz="0" w:space="0" w:color="auto"/>
        <w:bottom w:val="none" w:sz="0" w:space="0" w:color="auto"/>
        <w:right w:val="none" w:sz="0" w:space="0" w:color="auto"/>
      </w:divBdr>
    </w:div>
    <w:div w:id="221452273">
      <w:bodyDiv w:val="1"/>
      <w:marLeft w:val="0"/>
      <w:marRight w:val="0"/>
      <w:marTop w:val="0"/>
      <w:marBottom w:val="0"/>
      <w:divBdr>
        <w:top w:val="none" w:sz="0" w:space="0" w:color="auto"/>
        <w:left w:val="none" w:sz="0" w:space="0" w:color="auto"/>
        <w:bottom w:val="none" w:sz="0" w:space="0" w:color="auto"/>
        <w:right w:val="none" w:sz="0" w:space="0" w:color="auto"/>
      </w:divBdr>
    </w:div>
    <w:div w:id="292489134">
      <w:bodyDiv w:val="1"/>
      <w:marLeft w:val="0"/>
      <w:marRight w:val="0"/>
      <w:marTop w:val="0"/>
      <w:marBottom w:val="0"/>
      <w:divBdr>
        <w:top w:val="none" w:sz="0" w:space="0" w:color="auto"/>
        <w:left w:val="none" w:sz="0" w:space="0" w:color="auto"/>
        <w:bottom w:val="none" w:sz="0" w:space="0" w:color="auto"/>
        <w:right w:val="none" w:sz="0" w:space="0" w:color="auto"/>
      </w:divBdr>
    </w:div>
    <w:div w:id="445731923">
      <w:bodyDiv w:val="1"/>
      <w:marLeft w:val="0"/>
      <w:marRight w:val="0"/>
      <w:marTop w:val="0"/>
      <w:marBottom w:val="0"/>
      <w:divBdr>
        <w:top w:val="none" w:sz="0" w:space="0" w:color="auto"/>
        <w:left w:val="none" w:sz="0" w:space="0" w:color="auto"/>
        <w:bottom w:val="none" w:sz="0" w:space="0" w:color="auto"/>
        <w:right w:val="none" w:sz="0" w:space="0" w:color="auto"/>
      </w:divBdr>
    </w:div>
    <w:div w:id="509370705">
      <w:bodyDiv w:val="1"/>
      <w:marLeft w:val="0"/>
      <w:marRight w:val="0"/>
      <w:marTop w:val="0"/>
      <w:marBottom w:val="0"/>
      <w:divBdr>
        <w:top w:val="none" w:sz="0" w:space="0" w:color="auto"/>
        <w:left w:val="none" w:sz="0" w:space="0" w:color="auto"/>
        <w:bottom w:val="none" w:sz="0" w:space="0" w:color="auto"/>
        <w:right w:val="none" w:sz="0" w:space="0" w:color="auto"/>
      </w:divBdr>
    </w:div>
    <w:div w:id="515922649">
      <w:bodyDiv w:val="1"/>
      <w:marLeft w:val="0"/>
      <w:marRight w:val="0"/>
      <w:marTop w:val="0"/>
      <w:marBottom w:val="0"/>
      <w:divBdr>
        <w:top w:val="none" w:sz="0" w:space="0" w:color="auto"/>
        <w:left w:val="none" w:sz="0" w:space="0" w:color="auto"/>
        <w:bottom w:val="none" w:sz="0" w:space="0" w:color="auto"/>
        <w:right w:val="none" w:sz="0" w:space="0" w:color="auto"/>
      </w:divBdr>
    </w:div>
    <w:div w:id="532962228">
      <w:bodyDiv w:val="1"/>
      <w:marLeft w:val="0"/>
      <w:marRight w:val="0"/>
      <w:marTop w:val="0"/>
      <w:marBottom w:val="0"/>
      <w:divBdr>
        <w:top w:val="none" w:sz="0" w:space="0" w:color="auto"/>
        <w:left w:val="none" w:sz="0" w:space="0" w:color="auto"/>
        <w:bottom w:val="none" w:sz="0" w:space="0" w:color="auto"/>
        <w:right w:val="none" w:sz="0" w:space="0" w:color="auto"/>
      </w:divBdr>
    </w:div>
    <w:div w:id="574557783">
      <w:bodyDiv w:val="1"/>
      <w:marLeft w:val="0"/>
      <w:marRight w:val="0"/>
      <w:marTop w:val="0"/>
      <w:marBottom w:val="0"/>
      <w:divBdr>
        <w:top w:val="none" w:sz="0" w:space="0" w:color="auto"/>
        <w:left w:val="none" w:sz="0" w:space="0" w:color="auto"/>
        <w:bottom w:val="none" w:sz="0" w:space="0" w:color="auto"/>
        <w:right w:val="none" w:sz="0" w:space="0" w:color="auto"/>
      </w:divBdr>
      <w:divsChild>
        <w:div w:id="399451437">
          <w:marLeft w:val="0"/>
          <w:marRight w:val="0"/>
          <w:marTop w:val="0"/>
          <w:marBottom w:val="0"/>
          <w:divBdr>
            <w:top w:val="none" w:sz="0" w:space="0" w:color="auto"/>
            <w:left w:val="none" w:sz="0" w:space="0" w:color="auto"/>
            <w:bottom w:val="none" w:sz="0" w:space="0" w:color="auto"/>
            <w:right w:val="none" w:sz="0" w:space="0" w:color="auto"/>
          </w:divBdr>
        </w:div>
        <w:div w:id="2108847183">
          <w:marLeft w:val="0"/>
          <w:marRight w:val="0"/>
          <w:marTop w:val="0"/>
          <w:marBottom w:val="0"/>
          <w:divBdr>
            <w:top w:val="none" w:sz="0" w:space="0" w:color="auto"/>
            <w:left w:val="none" w:sz="0" w:space="0" w:color="auto"/>
            <w:bottom w:val="none" w:sz="0" w:space="0" w:color="auto"/>
            <w:right w:val="none" w:sz="0" w:space="0" w:color="auto"/>
          </w:divBdr>
        </w:div>
      </w:divsChild>
    </w:div>
    <w:div w:id="595283948">
      <w:bodyDiv w:val="1"/>
      <w:marLeft w:val="0"/>
      <w:marRight w:val="0"/>
      <w:marTop w:val="0"/>
      <w:marBottom w:val="0"/>
      <w:divBdr>
        <w:top w:val="none" w:sz="0" w:space="0" w:color="auto"/>
        <w:left w:val="none" w:sz="0" w:space="0" w:color="auto"/>
        <w:bottom w:val="none" w:sz="0" w:space="0" w:color="auto"/>
        <w:right w:val="none" w:sz="0" w:space="0" w:color="auto"/>
      </w:divBdr>
    </w:div>
    <w:div w:id="785928305">
      <w:bodyDiv w:val="1"/>
      <w:marLeft w:val="0"/>
      <w:marRight w:val="0"/>
      <w:marTop w:val="0"/>
      <w:marBottom w:val="0"/>
      <w:divBdr>
        <w:top w:val="none" w:sz="0" w:space="0" w:color="auto"/>
        <w:left w:val="none" w:sz="0" w:space="0" w:color="auto"/>
        <w:bottom w:val="none" w:sz="0" w:space="0" w:color="auto"/>
        <w:right w:val="none" w:sz="0" w:space="0" w:color="auto"/>
      </w:divBdr>
    </w:div>
    <w:div w:id="810102760">
      <w:bodyDiv w:val="1"/>
      <w:marLeft w:val="0"/>
      <w:marRight w:val="0"/>
      <w:marTop w:val="0"/>
      <w:marBottom w:val="0"/>
      <w:divBdr>
        <w:top w:val="none" w:sz="0" w:space="0" w:color="auto"/>
        <w:left w:val="none" w:sz="0" w:space="0" w:color="auto"/>
        <w:bottom w:val="none" w:sz="0" w:space="0" w:color="auto"/>
        <w:right w:val="none" w:sz="0" w:space="0" w:color="auto"/>
      </w:divBdr>
    </w:div>
    <w:div w:id="860120237">
      <w:bodyDiv w:val="1"/>
      <w:marLeft w:val="0"/>
      <w:marRight w:val="0"/>
      <w:marTop w:val="0"/>
      <w:marBottom w:val="0"/>
      <w:divBdr>
        <w:top w:val="none" w:sz="0" w:space="0" w:color="auto"/>
        <w:left w:val="none" w:sz="0" w:space="0" w:color="auto"/>
        <w:bottom w:val="none" w:sz="0" w:space="0" w:color="auto"/>
        <w:right w:val="none" w:sz="0" w:space="0" w:color="auto"/>
      </w:divBdr>
    </w:div>
    <w:div w:id="899294103">
      <w:bodyDiv w:val="1"/>
      <w:marLeft w:val="0"/>
      <w:marRight w:val="0"/>
      <w:marTop w:val="0"/>
      <w:marBottom w:val="0"/>
      <w:divBdr>
        <w:top w:val="none" w:sz="0" w:space="0" w:color="auto"/>
        <w:left w:val="none" w:sz="0" w:space="0" w:color="auto"/>
        <w:bottom w:val="none" w:sz="0" w:space="0" w:color="auto"/>
        <w:right w:val="none" w:sz="0" w:space="0" w:color="auto"/>
      </w:divBdr>
    </w:div>
    <w:div w:id="1292056789">
      <w:bodyDiv w:val="1"/>
      <w:marLeft w:val="0"/>
      <w:marRight w:val="0"/>
      <w:marTop w:val="0"/>
      <w:marBottom w:val="0"/>
      <w:divBdr>
        <w:top w:val="none" w:sz="0" w:space="0" w:color="auto"/>
        <w:left w:val="none" w:sz="0" w:space="0" w:color="auto"/>
        <w:bottom w:val="none" w:sz="0" w:space="0" w:color="auto"/>
        <w:right w:val="none" w:sz="0" w:space="0" w:color="auto"/>
      </w:divBdr>
    </w:div>
    <w:div w:id="1459764662">
      <w:bodyDiv w:val="1"/>
      <w:marLeft w:val="0"/>
      <w:marRight w:val="0"/>
      <w:marTop w:val="0"/>
      <w:marBottom w:val="0"/>
      <w:divBdr>
        <w:top w:val="none" w:sz="0" w:space="0" w:color="auto"/>
        <w:left w:val="none" w:sz="0" w:space="0" w:color="auto"/>
        <w:bottom w:val="none" w:sz="0" w:space="0" w:color="auto"/>
        <w:right w:val="none" w:sz="0" w:space="0" w:color="auto"/>
      </w:divBdr>
    </w:div>
    <w:div w:id="1498880327">
      <w:bodyDiv w:val="1"/>
      <w:marLeft w:val="0"/>
      <w:marRight w:val="0"/>
      <w:marTop w:val="0"/>
      <w:marBottom w:val="0"/>
      <w:divBdr>
        <w:top w:val="none" w:sz="0" w:space="0" w:color="auto"/>
        <w:left w:val="none" w:sz="0" w:space="0" w:color="auto"/>
        <w:bottom w:val="none" w:sz="0" w:space="0" w:color="auto"/>
        <w:right w:val="none" w:sz="0" w:space="0" w:color="auto"/>
      </w:divBdr>
    </w:div>
    <w:div w:id="1778602053">
      <w:bodyDiv w:val="1"/>
      <w:marLeft w:val="0"/>
      <w:marRight w:val="0"/>
      <w:marTop w:val="0"/>
      <w:marBottom w:val="0"/>
      <w:divBdr>
        <w:top w:val="none" w:sz="0" w:space="0" w:color="auto"/>
        <w:left w:val="none" w:sz="0" w:space="0" w:color="auto"/>
        <w:bottom w:val="none" w:sz="0" w:space="0" w:color="auto"/>
        <w:right w:val="none" w:sz="0" w:space="0" w:color="auto"/>
      </w:divBdr>
    </w:div>
    <w:div w:id="1815296975">
      <w:bodyDiv w:val="1"/>
      <w:marLeft w:val="0"/>
      <w:marRight w:val="0"/>
      <w:marTop w:val="0"/>
      <w:marBottom w:val="0"/>
      <w:divBdr>
        <w:top w:val="none" w:sz="0" w:space="0" w:color="auto"/>
        <w:left w:val="none" w:sz="0" w:space="0" w:color="auto"/>
        <w:bottom w:val="none" w:sz="0" w:space="0" w:color="auto"/>
        <w:right w:val="none" w:sz="0" w:space="0" w:color="auto"/>
      </w:divBdr>
      <w:divsChild>
        <w:div w:id="1197498010">
          <w:marLeft w:val="0"/>
          <w:marRight w:val="0"/>
          <w:marTop w:val="0"/>
          <w:marBottom w:val="0"/>
          <w:divBdr>
            <w:top w:val="none" w:sz="0" w:space="0" w:color="auto"/>
            <w:left w:val="none" w:sz="0" w:space="0" w:color="auto"/>
            <w:bottom w:val="none" w:sz="0" w:space="0" w:color="auto"/>
            <w:right w:val="none" w:sz="0" w:space="0" w:color="auto"/>
          </w:divBdr>
        </w:div>
        <w:div w:id="1819882208">
          <w:marLeft w:val="0"/>
          <w:marRight w:val="0"/>
          <w:marTop w:val="0"/>
          <w:marBottom w:val="0"/>
          <w:divBdr>
            <w:top w:val="none" w:sz="0" w:space="0" w:color="auto"/>
            <w:left w:val="none" w:sz="0" w:space="0" w:color="auto"/>
            <w:bottom w:val="none" w:sz="0" w:space="0" w:color="auto"/>
            <w:right w:val="none" w:sz="0" w:space="0" w:color="auto"/>
          </w:divBdr>
        </w:div>
        <w:div w:id="1387219516">
          <w:marLeft w:val="0"/>
          <w:marRight w:val="0"/>
          <w:marTop w:val="0"/>
          <w:marBottom w:val="0"/>
          <w:divBdr>
            <w:top w:val="none" w:sz="0" w:space="0" w:color="auto"/>
            <w:left w:val="none" w:sz="0" w:space="0" w:color="auto"/>
            <w:bottom w:val="none" w:sz="0" w:space="0" w:color="auto"/>
            <w:right w:val="none" w:sz="0" w:space="0" w:color="auto"/>
          </w:divBdr>
        </w:div>
        <w:div w:id="1999454254">
          <w:marLeft w:val="0"/>
          <w:marRight w:val="0"/>
          <w:marTop w:val="0"/>
          <w:marBottom w:val="0"/>
          <w:divBdr>
            <w:top w:val="none" w:sz="0" w:space="0" w:color="auto"/>
            <w:left w:val="none" w:sz="0" w:space="0" w:color="auto"/>
            <w:bottom w:val="none" w:sz="0" w:space="0" w:color="auto"/>
            <w:right w:val="none" w:sz="0" w:space="0" w:color="auto"/>
          </w:divBdr>
        </w:div>
        <w:div w:id="798643599">
          <w:marLeft w:val="0"/>
          <w:marRight w:val="0"/>
          <w:marTop w:val="0"/>
          <w:marBottom w:val="0"/>
          <w:divBdr>
            <w:top w:val="none" w:sz="0" w:space="0" w:color="auto"/>
            <w:left w:val="none" w:sz="0" w:space="0" w:color="auto"/>
            <w:bottom w:val="none" w:sz="0" w:space="0" w:color="auto"/>
            <w:right w:val="none" w:sz="0" w:space="0" w:color="auto"/>
          </w:divBdr>
        </w:div>
        <w:div w:id="1891184743">
          <w:marLeft w:val="0"/>
          <w:marRight w:val="0"/>
          <w:marTop w:val="0"/>
          <w:marBottom w:val="0"/>
          <w:divBdr>
            <w:top w:val="none" w:sz="0" w:space="0" w:color="auto"/>
            <w:left w:val="none" w:sz="0" w:space="0" w:color="auto"/>
            <w:bottom w:val="none" w:sz="0" w:space="0" w:color="auto"/>
            <w:right w:val="none" w:sz="0" w:space="0" w:color="auto"/>
          </w:divBdr>
        </w:div>
        <w:div w:id="2015260700">
          <w:marLeft w:val="0"/>
          <w:marRight w:val="0"/>
          <w:marTop w:val="0"/>
          <w:marBottom w:val="0"/>
          <w:divBdr>
            <w:top w:val="none" w:sz="0" w:space="0" w:color="auto"/>
            <w:left w:val="none" w:sz="0" w:space="0" w:color="auto"/>
            <w:bottom w:val="none" w:sz="0" w:space="0" w:color="auto"/>
            <w:right w:val="none" w:sz="0" w:space="0" w:color="auto"/>
          </w:divBdr>
        </w:div>
        <w:div w:id="188566380">
          <w:marLeft w:val="0"/>
          <w:marRight w:val="0"/>
          <w:marTop w:val="0"/>
          <w:marBottom w:val="0"/>
          <w:divBdr>
            <w:top w:val="none" w:sz="0" w:space="0" w:color="auto"/>
            <w:left w:val="none" w:sz="0" w:space="0" w:color="auto"/>
            <w:bottom w:val="none" w:sz="0" w:space="0" w:color="auto"/>
            <w:right w:val="none" w:sz="0" w:space="0" w:color="auto"/>
          </w:divBdr>
        </w:div>
        <w:div w:id="250743234">
          <w:marLeft w:val="0"/>
          <w:marRight w:val="0"/>
          <w:marTop w:val="0"/>
          <w:marBottom w:val="0"/>
          <w:divBdr>
            <w:top w:val="none" w:sz="0" w:space="0" w:color="auto"/>
            <w:left w:val="none" w:sz="0" w:space="0" w:color="auto"/>
            <w:bottom w:val="none" w:sz="0" w:space="0" w:color="auto"/>
            <w:right w:val="none" w:sz="0" w:space="0" w:color="auto"/>
          </w:divBdr>
        </w:div>
      </w:divsChild>
    </w:div>
    <w:div w:id="1880512318">
      <w:bodyDiv w:val="1"/>
      <w:marLeft w:val="0"/>
      <w:marRight w:val="0"/>
      <w:marTop w:val="0"/>
      <w:marBottom w:val="0"/>
      <w:divBdr>
        <w:top w:val="none" w:sz="0" w:space="0" w:color="auto"/>
        <w:left w:val="none" w:sz="0" w:space="0" w:color="auto"/>
        <w:bottom w:val="none" w:sz="0" w:space="0" w:color="auto"/>
        <w:right w:val="none" w:sz="0" w:space="0" w:color="auto"/>
      </w:divBdr>
    </w:div>
    <w:div w:id="1898279827">
      <w:bodyDiv w:val="1"/>
      <w:marLeft w:val="0"/>
      <w:marRight w:val="0"/>
      <w:marTop w:val="0"/>
      <w:marBottom w:val="0"/>
      <w:divBdr>
        <w:top w:val="none" w:sz="0" w:space="0" w:color="auto"/>
        <w:left w:val="none" w:sz="0" w:space="0" w:color="auto"/>
        <w:bottom w:val="none" w:sz="0" w:space="0" w:color="auto"/>
        <w:right w:val="none" w:sz="0" w:space="0" w:color="auto"/>
      </w:divBdr>
    </w:div>
    <w:div w:id="2070610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pristupinfo.hr/pravni-okvir/upute-smjernice-obrasci/" TargetMode="External"/><Relationship Id="rId26" Type="http://schemas.openxmlformats.org/officeDocument/2006/relationships/hyperlink" Target="https://www.sabor.hr/prijedlog-drzavnog-proracuna-republike-hrvatske-za-2024-godinu-i-projekcija-za-2025-i-2026-godinu?t=142293&amp;tid=212269" TargetMode="External"/><Relationship Id="rId39" Type="http://schemas.openxmlformats.org/officeDocument/2006/relationships/hyperlink" Target="https://www.azoo.hr/natjecanja-i-smotre-arhiva/zbornik-smotra-projekata-2023-iz-gradanskog-odgoja-i-obrazovanja/" TargetMode="External"/><Relationship Id="rId21" Type="http://schemas.openxmlformats.org/officeDocument/2006/relationships/hyperlink" Target="https://pristupinfo.hr/djelokrug/projekti/npoo/" TargetMode="External"/><Relationship Id="rId34" Type="http://schemas.openxmlformats.org/officeDocument/2006/relationships/hyperlink" Target="https://mpudt.gov.hr/UserDocsImages/dokumenti/Antikorupcija/Izvjesce%20o%20provedbi%20Akcijskog%20plana%20za%202022..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ristupinfo.hr/praksa-povjerenika-za-informiranje/" TargetMode="External"/><Relationship Id="rId20" Type="http://schemas.openxmlformats.org/officeDocument/2006/relationships/hyperlink" Target="https://pristupinfo.hr/pristupacnost-web-stranica-i-mobilnih-aplikacija/" TargetMode="External"/><Relationship Id="rId29" Type="http://schemas.openxmlformats.org/officeDocument/2006/relationships/hyperlink" Target="https://narodne-novine.nn.hr/clanci/sluzbeni/2023_06_59_1003.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fin.gov.hr/UserDocsImages//dokumenti/Informacije_za_gradane//NPZ%20DP%20RH%20za%202024-25-26.zip" TargetMode="External"/><Relationship Id="rId32" Type="http://schemas.openxmlformats.org/officeDocument/2006/relationships/hyperlink" Target="https://udruge.gov.hr/istaknute-teme/svicarsko-hrvatski-program-suradnje/upute-za-korisnike/4965" TargetMode="External"/><Relationship Id="rId37" Type="http://schemas.openxmlformats.org/officeDocument/2006/relationships/hyperlink" Target="https://data.gov.hr/"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istupinfo.hr/wp-content/uploads/2023/06/Izvjestaj-o-vrednovanju-ucinaka-ZPPI-FINAL-za-web.pdf?x57830" TargetMode="External"/><Relationship Id="rId23" Type="http://schemas.openxmlformats.org/officeDocument/2006/relationships/hyperlink" Target="https://narodne-novine.nn.hr/clanci/sluzbeni/2023_06_59_1003.html" TargetMode="External"/><Relationship Id="rId28" Type="http://schemas.openxmlformats.org/officeDocument/2006/relationships/hyperlink" Target="https://www.opencity.hr/hrvzz/" TargetMode="External"/><Relationship Id="rId36" Type="http://schemas.openxmlformats.org/officeDocument/2006/relationships/hyperlink" Target="https://data.gov.hr/" TargetMode="External"/><Relationship Id="rId10" Type="http://schemas.openxmlformats.org/officeDocument/2006/relationships/footnotes" Target="footnotes.xml"/><Relationship Id="rId19" Type="http://schemas.openxmlformats.org/officeDocument/2006/relationships/hyperlink" Target="https://pristupinfo.hr/dokumenti-i-publikacije/analiticka-izvjesca/" TargetMode="External"/><Relationship Id="rId31" Type="http://schemas.openxmlformats.org/officeDocument/2006/relationships/hyperlink" Target="https://www.izbori.hr/online-edukacija/referendu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druge.gov.hr/istaknute-teme/svicarsko-hrvatski-program-suradnje/upute-za-korisnike/4965" TargetMode="External"/><Relationship Id="rId22" Type="http://schemas.openxmlformats.org/officeDocument/2006/relationships/hyperlink" Target="https://mfin.gov.hr/istaknute-teme/drzavna-riznica/aplikacija-upit-po-dobavljacima/3250" TargetMode="External"/><Relationship Id="rId27" Type="http://schemas.openxmlformats.org/officeDocument/2006/relationships/hyperlink" Target="https://www.sabor.hr/sites/default/files/uploads/sabor/2023-11-09/202211/1.%20DPRH%20za%202024.zip" TargetMode="External"/><Relationship Id="rId30" Type="http://schemas.openxmlformats.org/officeDocument/2006/relationships/hyperlink" Target="https://www.drzavna-riznica.hr/trosenje_sredstava_DP" TargetMode="External"/><Relationship Id="rId35" Type="http://schemas.openxmlformats.org/officeDocument/2006/relationships/hyperlink" Target="https://mpudt.gov.hr/UserDocsImages/dokumenti/Antikorupcija/Izvjesce%20o%20provedbi%20Akcijskog%20plana%20za%20razdoblje%20od%202022%20do%202024%20godine%20uz%20Strategiju%20sprjecavanja%20korupcije%20za%20razdoblje%20od%202021%20do%202030%20godine%20za%202023.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pristupinfo.hr/pravni-okvir/upute-smjernice-obrasci/" TargetMode="External"/><Relationship Id="rId25" Type="http://schemas.openxmlformats.org/officeDocument/2006/relationships/hyperlink" Target="https://vlada.gov.hr/sjednice/262-sjednica-vlade-republike-hrvatske-39338/39338" TargetMode="External"/><Relationship Id="rId33" Type="http://schemas.openxmlformats.org/officeDocument/2006/relationships/hyperlink" Target="https://npoo.aem.hr/" TargetMode="External"/><Relationship Id="rId38" Type="http://schemas.openxmlformats.org/officeDocument/2006/relationships/hyperlink" Target="https://www.azoo.hr/natjecanja-i-smotre-arhiva/zbornik-smotra-projekata-2023-iz-gradanskog-odgoja-i-obrazovan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AZJMDCZ6QSYZ-886166611-5358</_dlc_DocId>
    <_dlc_DocIdUrl xmlns="a494813a-d0d8-4dad-94cb-0d196f36ba15">
      <Url>https://ekoordinacije.vlada.hr/unutarnja-ljudska/_layouts/15/DocIdRedir.aspx?ID=AZJMDCZ6QSYZ-886166611-5358</Url>
      <Description>AZJMDCZ6QSYZ-886166611-5358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EB4BA-6001-4065-8233-88387BB74B44}">
  <ds:schemaRefs>
    <ds:schemaRef ds:uri="http://purl.org/dc/dcmitype/"/>
    <ds:schemaRef ds:uri="http://schemas.microsoft.com/office/2006/metadata/properties"/>
    <ds:schemaRef ds:uri="a494813a-d0d8-4dad-94cb-0d196f36ba15"/>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611D3EBF-874E-4FB7-81E5-7C780797093B}">
  <ds:schemaRefs>
    <ds:schemaRef ds:uri="http://schemas.microsoft.com/sharepoint/v3/contenttype/forms"/>
  </ds:schemaRefs>
</ds:datastoreItem>
</file>

<file path=customXml/itemProps3.xml><?xml version="1.0" encoding="utf-8"?>
<ds:datastoreItem xmlns:ds="http://schemas.openxmlformats.org/officeDocument/2006/customXml" ds:itemID="{4A5F60DC-FF21-46DA-A263-F03F058D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40D92F-CDDD-468A-B695-C6CA7BEF1BCC}">
  <ds:schemaRefs>
    <ds:schemaRef ds:uri="http://schemas.microsoft.com/sharepoint/events"/>
  </ds:schemaRefs>
</ds:datastoreItem>
</file>

<file path=customXml/itemProps5.xml><?xml version="1.0" encoding="utf-8"?>
<ds:datastoreItem xmlns:ds="http://schemas.openxmlformats.org/officeDocument/2006/customXml" ds:itemID="{4BB249FA-5077-49A2-B76B-78F64036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20880</Words>
  <Characters>119016</Characters>
  <Application>Microsoft Office Word</Application>
  <DocSecurity>0</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Pernar</dc:creator>
  <cp:keywords/>
  <dc:description/>
  <cp:lastModifiedBy>Nemanja Relić</cp:lastModifiedBy>
  <cp:revision>3</cp:revision>
  <cp:lastPrinted>2024-11-19T09:29:00Z</cp:lastPrinted>
  <dcterms:created xsi:type="dcterms:W3CDTF">2024-11-20T10:42:00Z</dcterms:created>
  <dcterms:modified xsi:type="dcterms:W3CDTF">2024-11-27T08:15:00Z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8b7b1c34-f2dc-49f3-afb3-99dd5a8ea5a3</vt:lpwstr>
  </property>
</Properties>
</file>